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1F19" w:rsidRPr="003B3274" w:rsidRDefault="00DF1F19" w:rsidP="00DF1F19">
      <w:pPr>
        <w:pStyle w:val="3GPPHeader"/>
        <w:spacing w:after="60"/>
      </w:pPr>
      <w:r w:rsidRPr="008479D9">
        <w:t>3GPP TSG-RAN WG2 #</w:t>
      </w:r>
      <w:r>
        <w:t>99-bis</w:t>
      </w:r>
      <w:r w:rsidRPr="008479D9">
        <w:tab/>
      </w:r>
      <w:r w:rsidR="003B3274" w:rsidRPr="003B3274">
        <w:t>R2-171088</w:t>
      </w:r>
      <w:r w:rsidR="008A7E04">
        <w:t>2</w:t>
      </w:r>
    </w:p>
    <w:p w:rsidR="00DF1F19" w:rsidRDefault="00DF1F19" w:rsidP="00DF1F19">
      <w:pPr>
        <w:pStyle w:val="CRCoverPage"/>
        <w:outlineLvl w:val="0"/>
        <w:rPr>
          <w:b/>
          <w:noProof/>
          <w:sz w:val="24"/>
        </w:rPr>
      </w:pPr>
      <w:r>
        <w:rPr>
          <w:b/>
          <w:noProof/>
          <w:sz w:val="24"/>
        </w:rPr>
        <w:t>Prague</w:t>
      </w:r>
      <w:r w:rsidRPr="008479D9">
        <w:rPr>
          <w:b/>
          <w:noProof/>
          <w:sz w:val="24"/>
        </w:rPr>
        <w:t xml:space="preserve">, </w:t>
      </w:r>
      <w:r>
        <w:rPr>
          <w:b/>
          <w:noProof/>
          <w:sz w:val="24"/>
        </w:rPr>
        <w:t>Czech</w:t>
      </w:r>
      <w:r w:rsidRPr="008479D9">
        <w:rPr>
          <w:b/>
          <w:noProof/>
          <w:sz w:val="24"/>
        </w:rPr>
        <w:t xml:space="preserve">, </w:t>
      </w:r>
      <w:r>
        <w:rPr>
          <w:b/>
          <w:noProof/>
          <w:sz w:val="24"/>
        </w:rPr>
        <w:t>9</w:t>
      </w:r>
      <w:r w:rsidRPr="007C3532">
        <w:rPr>
          <w:b/>
          <w:noProof/>
          <w:sz w:val="24"/>
          <w:vertAlign w:val="superscript"/>
        </w:rPr>
        <w:t>th</w:t>
      </w:r>
      <w:r>
        <w:rPr>
          <w:b/>
          <w:noProof/>
          <w:sz w:val="24"/>
        </w:rPr>
        <w:t>– 13</w:t>
      </w:r>
      <w:r w:rsidRPr="008479D9">
        <w:rPr>
          <w:b/>
          <w:noProof/>
          <w:sz w:val="24"/>
          <w:vertAlign w:val="superscript"/>
        </w:rPr>
        <w:t>th</w:t>
      </w:r>
      <w:r w:rsidRPr="008479D9">
        <w:rPr>
          <w:b/>
          <w:noProof/>
          <w:sz w:val="24"/>
        </w:rPr>
        <w:t xml:space="preserve"> </w:t>
      </w:r>
      <w:r>
        <w:rPr>
          <w:b/>
          <w:noProof/>
          <w:sz w:val="24"/>
        </w:rPr>
        <w:t xml:space="preserve">October </w:t>
      </w:r>
      <w:r w:rsidRPr="008479D9">
        <w:rPr>
          <w:b/>
          <w:noProof/>
          <w:sz w:val="24"/>
        </w:rPr>
        <w:t>2017</w:t>
      </w:r>
    </w:p>
    <w:p w:rsidR="008D5D73" w:rsidRDefault="008D5D73" w:rsidP="008D5D73">
      <w:pPr>
        <w:pStyle w:val="CRCoverPage"/>
        <w:outlineLvl w:val="0"/>
        <w:rPr>
          <w:b/>
          <w:noProof/>
          <w:sz w:val="24"/>
          <w:lang w:eastAsia="ja-JP"/>
        </w:rPr>
      </w:pPr>
      <w:r>
        <w:rPr>
          <w:b/>
          <w:noProof/>
          <w:sz w:val="24"/>
          <w:lang w:eastAsia="ja-JP"/>
        </w:rPr>
        <w:tab/>
      </w:r>
      <w:r>
        <w:rPr>
          <w:b/>
          <w:noProof/>
          <w:sz w:val="24"/>
          <w:lang w:eastAsia="ja-JP"/>
        </w:rPr>
        <w:tab/>
      </w:r>
      <w:r>
        <w:rPr>
          <w:b/>
          <w:noProof/>
          <w:sz w:val="24"/>
          <w:lang w:eastAsia="ja-JP"/>
        </w:rPr>
        <w:tab/>
      </w:r>
      <w:r>
        <w:rPr>
          <w:b/>
          <w:noProof/>
          <w:sz w:val="24"/>
          <w:lang w:eastAsia="ja-JP"/>
        </w:rPr>
        <w:tab/>
      </w:r>
      <w:r>
        <w:rPr>
          <w:b/>
          <w:noProof/>
          <w:sz w:val="24"/>
          <w:lang w:eastAsia="ja-JP"/>
        </w:rPr>
        <w:tab/>
        <w:t xml:space="preserve">   </w:t>
      </w:r>
    </w:p>
    <w:p w:rsidR="008D5D73" w:rsidRDefault="008D5D73" w:rsidP="008D5D73">
      <w:pPr>
        <w:pStyle w:val="CRCoverPage"/>
        <w:ind w:left="1988" w:hanging="1988"/>
        <w:rPr>
          <w:b/>
          <w:noProof/>
          <w:sz w:val="24"/>
        </w:rPr>
      </w:pPr>
      <w:r>
        <w:rPr>
          <w:b/>
          <w:noProof/>
          <w:sz w:val="24"/>
        </w:rPr>
        <w:t>Agenda Item:</w:t>
      </w:r>
      <w:r>
        <w:rPr>
          <w:b/>
          <w:noProof/>
          <w:sz w:val="24"/>
        </w:rPr>
        <w:tab/>
      </w:r>
      <w:r w:rsidR="003B3274">
        <w:rPr>
          <w:b/>
          <w:noProof/>
          <w:sz w:val="24"/>
        </w:rPr>
        <w:t>10.4.1.4.6</w:t>
      </w:r>
      <w:r w:rsidRPr="00C7596E">
        <w:rPr>
          <w:b/>
          <w:noProof/>
          <w:sz w:val="24"/>
        </w:rPr>
        <w:tab/>
      </w:r>
    </w:p>
    <w:p w:rsidR="008D5D73" w:rsidRPr="009A6513" w:rsidRDefault="008D5D73" w:rsidP="008D5D73">
      <w:pPr>
        <w:pStyle w:val="CRCoverPage"/>
        <w:ind w:left="1988" w:hanging="1988"/>
        <w:rPr>
          <w:b/>
          <w:noProof/>
          <w:sz w:val="24"/>
        </w:rPr>
      </w:pPr>
      <w:r>
        <w:rPr>
          <w:b/>
          <w:noProof/>
          <w:sz w:val="24"/>
        </w:rPr>
        <w:t>Source:</w:t>
      </w:r>
      <w:r>
        <w:rPr>
          <w:b/>
          <w:noProof/>
          <w:sz w:val="24"/>
        </w:rPr>
        <w:tab/>
        <w:t>MediaTek Inc.</w:t>
      </w:r>
    </w:p>
    <w:p w:rsidR="008D5D73" w:rsidRPr="00C93A3C" w:rsidRDefault="008D5D73" w:rsidP="008D5D73">
      <w:pPr>
        <w:pStyle w:val="CRCoverPage"/>
        <w:ind w:left="1988" w:hanging="1988"/>
        <w:rPr>
          <w:b/>
          <w:noProof/>
          <w:sz w:val="24"/>
        </w:rPr>
      </w:pPr>
      <w:r>
        <w:rPr>
          <w:b/>
          <w:noProof/>
          <w:sz w:val="24"/>
        </w:rPr>
        <w:t>Title:</w:t>
      </w:r>
      <w:r>
        <w:rPr>
          <w:b/>
          <w:noProof/>
          <w:sz w:val="24"/>
        </w:rPr>
        <w:tab/>
      </w:r>
      <w:bookmarkStart w:id="0" w:name="OLE_LINK1"/>
      <w:bookmarkStart w:id="1" w:name="OLE_LINK2"/>
      <w:r w:rsidR="003A20AB">
        <w:rPr>
          <w:b/>
          <w:noProof/>
          <w:sz w:val="24"/>
        </w:rPr>
        <w:t xml:space="preserve">RRM Measurement </w:t>
      </w:r>
      <w:r w:rsidR="003B3274">
        <w:rPr>
          <w:b/>
          <w:noProof/>
          <w:sz w:val="24"/>
        </w:rPr>
        <w:t>Considering</w:t>
      </w:r>
      <w:r w:rsidR="003A20AB">
        <w:rPr>
          <w:b/>
          <w:noProof/>
          <w:sz w:val="24"/>
        </w:rPr>
        <w:t xml:space="preserve"> </w:t>
      </w:r>
      <w:r w:rsidR="004A2DD0">
        <w:rPr>
          <w:b/>
          <w:noProof/>
          <w:sz w:val="24"/>
        </w:rPr>
        <w:t>Bandwidth Part</w:t>
      </w:r>
      <w:r w:rsidR="003A20AB">
        <w:rPr>
          <w:b/>
          <w:noProof/>
          <w:sz w:val="24"/>
        </w:rPr>
        <w:t xml:space="preserve"> Operation</w:t>
      </w:r>
    </w:p>
    <w:bookmarkEnd w:id="0"/>
    <w:bookmarkEnd w:id="1"/>
    <w:p w:rsidR="008D5D73" w:rsidRPr="00E15E7F" w:rsidRDefault="008D5D73" w:rsidP="008D5D73">
      <w:pPr>
        <w:pStyle w:val="CRCoverPage"/>
        <w:rPr>
          <w:b/>
          <w:noProof/>
          <w:sz w:val="24"/>
        </w:rPr>
      </w:pPr>
      <w:r>
        <w:rPr>
          <w:b/>
          <w:noProof/>
          <w:sz w:val="24"/>
        </w:rPr>
        <w:t>Document for:     Discussion and decision</w:t>
      </w:r>
    </w:p>
    <w:p w:rsidR="008D5D73" w:rsidRDefault="008D5D73" w:rsidP="008D5D73">
      <w:pPr>
        <w:pStyle w:val="Heading1"/>
        <w:rPr>
          <w:lang w:val="en-US" w:eastAsia="ko-KR"/>
        </w:rPr>
      </w:pPr>
      <w:r>
        <w:rPr>
          <w:lang w:val="en-US" w:eastAsia="ko-KR"/>
        </w:rPr>
        <w:t xml:space="preserve">1 </w:t>
      </w:r>
      <w:r w:rsidRPr="009D35B3">
        <w:rPr>
          <w:lang w:val="en-US" w:eastAsia="ko-KR"/>
        </w:rPr>
        <w:t>Introduction</w:t>
      </w:r>
    </w:p>
    <w:p w:rsidR="00667B08" w:rsidRPr="00720016" w:rsidRDefault="00205CDA" w:rsidP="00326AF7">
      <w:pPr>
        <w:spacing w:before="120" w:after="120"/>
        <w:jc w:val="both"/>
        <w:rPr>
          <w:sz w:val="22"/>
          <w:szCs w:val="22"/>
        </w:rPr>
      </w:pPr>
      <w:r w:rsidRPr="00720016">
        <w:rPr>
          <w:sz w:val="22"/>
          <w:szCs w:val="22"/>
        </w:rPr>
        <w:t>The</w:t>
      </w:r>
      <w:r w:rsidR="00667B08" w:rsidRPr="00720016">
        <w:rPr>
          <w:sz w:val="22"/>
          <w:szCs w:val="22"/>
        </w:rPr>
        <w:t xml:space="preserve"> concept of </w:t>
      </w:r>
      <w:r w:rsidR="004A2DD0" w:rsidRPr="00720016">
        <w:rPr>
          <w:sz w:val="22"/>
          <w:szCs w:val="22"/>
        </w:rPr>
        <w:t xml:space="preserve">bandwidth part (BWP) </w:t>
      </w:r>
      <w:r w:rsidRPr="00720016">
        <w:rPr>
          <w:sz w:val="22"/>
          <w:szCs w:val="22"/>
        </w:rPr>
        <w:t>was introduced in RAN1#88bis meeting. After several RAN1 meetings</w:t>
      </w:r>
      <w:r w:rsidR="004A2DD0" w:rsidRPr="00720016">
        <w:rPr>
          <w:sz w:val="22"/>
          <w:szCs w:val="22"/>
        </w:rPr>
        <w:t xml:space="preserve"> </w:t>
      </w:r>
      <w:r w:rsidR="00667B08" w:rsidRPr="00720016">
        <w:rPr>
          <w:sz w:val="22"/>
          <w:szCs w:val="22"/>
        </w:rPr>
        <w:t xml:space="preserve">one LS from </w:t>
      </w:r>
      <w:r w:rsidR="00326AF7" w:rsidRPr="00720016">
        <w:rPr>
          <w:sz w:val="22"/>
          <w:szCs w:val="22"/>
        </w:rPr>
        <w:t>RAN1 [</w:t>
      </w:r>
      <w:r w:rsidR="00667B08" w:rsidRPr="00720016">
        <w:rPr>
          <w:sz w:val="22"/>
          <w:szCs w:val="22"/>
        </w:rPr>
        <w:t>1]</w:t>
      </w:r>
      <w:r w:rsidRPr="00720016">
        <w:rPr>
          <w:sz w:val="22"/>
          <w:szCs w:val="22"/>
        </w:rPr>
        <w:t xml:space="preserve"> </w:t>
      </w:r>
      <w:r w:rsidR="00667B08" w:rsidRPr="00720016">
        <w:rPr>
          <w:sz w:val="22"/>
          <w:szCs w:val="22"/>
        </w:rPr>
        <w:t>was sent to RAN2 with a series o</w:t>
      </w:r>
      <w:bookmarkStart w:id="2" w:name="_GoBack"/>
      <w:bookmarkEnd w:id="2"/>
      <w:r w:rsidR="00667B08" w:rsidRPr="00720016">
        <w:rPr>
          <w:sz w:val="22"/>
          <w:szCs w:val="22"/>
        </w:rPr>
        <w:t xml:space="preserve">f agreements. The focus of this contribution is to identify and discuss </w:t>
      </w:r>
      <w:r w:rsidR="00326AF7" w:rsidRPr="00720016">
        <w:rPr>
          <w:sz w:val="22"/>
          <w:szCs w:val="22"/>
        </w:rPr>
        <w:t>issues related to RRM measurement</w:t>
      </w:r>
      <w:r w:rsidR="00667B08" w:rsidRPr="00720016">
        <w:rPr>
          <w:sz w:val="22"/>
          <w:szCs w:val="22"/>
        </w:rPr>
        <w:t xml:space="preserve"> that need to be addressed by RAN2 because of the new aspects introduced by </w:t>
      </w:r>
      <w:r w:rsidR="00326AF7" w:rsidRPr="00720016">
        <w:rPr>
          <w:sz w:val="22"/>
          <w:szCs w:val="22"/>
        </w:rPr>
        <w:t>BWP operation.</w:t>
      </w:r>
    </w:p>
    <w:p w:rsidR="00364690" w:rsidRDefault="00DC7CF9" w:rsidP="00364690">
      <w:pPr>
        <w:pStyle w:val="Heading1"/>
        <w:rPr>
          <w:lang w:val="en-US" w:eastAsia="ko-KR"/>
        </w:rPr>
      </w:pPr>
      <w:r>
        <w:rPr>
          <w:lang w:val="en-US" w:eastAsia="ko-KR"/>
        </w:rPr>
        <w:t>2 Discussion</w:t>
      </w:r>
    </w:p>
    <w:p w:rsidR="00494430" w:rsidRPr="00494430" w:rsidRDefault="00494430" w:rsidP="00494430">
      <w:pPr>
        <w:pStyle w:val="Heading2"/>
        <w:spacing w:before="180" w:after="180"/>
        <w:ind w:left="1134" w:hanging="1134"/>
        <w:jc w:val="both"/>
        <w:rPr>
          <w:rFonts w:ascii="Arial" w:eastAsia="Malgun Gothic" w:hAnsi="Arial" w:cs="Times New Roman"/>
          <w:color w:val="auto"/>
          <w:sz w:val="32"/>
          <w:szCs w:val="20"/>
        </w:rPr>
      </w:pPr>
      <w:r>
        <w:rPr>
          <w:rFonts w:ascii="Arial" w:eastAsia="Malgun Gothic" w:hAnsi="Arial" w:cs="Times New Roman"/>
          <w:color w:val="auto"/>
          <w:sz w:val="32"/>
          <w:szCs w:val="20"/>
        </w:rPr>
        <w:t>2.1 Multiple SSBs in a Wideband C</w:t>
      </w:r>
      <w:r w:rsidRPr="00494430">
        <w:rPr>
          <w:rFonts w:ascii="Arial" w:eastAsia="Malgun Gothic" w:hAnsi="Arial" w:cs="Times New Roman"/>
          <w:color w:val="auto"/>
          <w:sz w:val="32"/>
          <w:szCs w:val="20"/>
        </w:rPr>
        <w:t>arrier</w:t>
      </w:r>
    </w:p>
    <w:p w:rsidR="00DA1CFE" w:rsidRDefault="0027173B" w:rsidP="00DA1CFE">
      <w:pPr>
        <w:spacing w:before="120" w:after="120"/>
        <w:jc w:val="both"/>
        <w:rPr>
          <w:sz w:val="22"/>
          <w:szCs w:val="22"/>
        </w:rPr>
      </w:pPr>
      <w:r w:rsidRPr="0027173B">
        <w:rPr>
          <w:sz w:val="22"/>
          <w:szCs w:val="22"/>
        </w:rPr>
        <w:t>NR will support very wide carrier bandwidths, and the maximum channel bandwidth per NR carrier in Rel-15 is 400 MHz.</w:t>
      </w:r>
      <w:r w:rsidRPr="0027173B">
        <w:rPr>
          <w:rFonts w:hint="eastAsia"/>
          <w:sz w:val="22"/>
          <w:szCs w:val="22"/>
        </w:rPr>
        <w:t xml:space="preserve"> </w:t>
      </w:r>
      <w:r w:rsidR="00954F73">
        <w:rPr>
          <w:sz w:val="22"/>
          <w:szCs w:val="22"/>
        </w:rPr>
        <w:t xml:space="preserve">Furthermore </w:t>
      </w:r>
      <w:r w:rsidRPr="0027173B">
        <w:rPr>
          <w:rFonts w:hint="eastAsia"/>
          <w:sz w:val="22"/>
          <w:szCs w:val="22"/>
        </w:rPr>
        <w:t xml:space="preserve">UEs with different </w:t>
      </w:r>
      <w:r w:rsidRPr="0027173B">
        <w:rPr>
          <w:sz w:val="22"/>
          <w:szCs w:val="22"/>
        </w:rPr>
        <w:t>BW</w:t>
      </w:r>
      <w:r w:rsidRPr="0027173B">
        <w:rPr>
          <w:rFonts w:hint="eastAsia"/>
          <w:sz w:val="22"/>
          <w:szCs w:val="22"/>
        </w:rPr>
        <w:t xml:space="preserve"> capability </w:t>
      </w:r>
      <w:r w:rsidRPr="0027173B">
        <w:rPr>
          <w:sz w:val="22"/>
          <w:szCs w:val="22"/>
        </w:rPr>
        <w:t xml:space="preserve">should be supported. </w:t>
      </w:r>
      <w:r w:rsidRPr="00F026D2">
        <w:rPr>
          <w:sz w:val="22"/>
          <w:szCs w:val="22"/>
        </w:rPr>
        <w:t xml:space="preserve">In order </w:t>
      </w:r>
      <w:r w:rsidRPr="00F026D2">
        <w:rPr>
          <w:rFonts w:hint="eastAsia"/>
          <w:sz w:val="22"/>
          <w:szCs w:val="22"/>
        </w:rPr>
        <w:t xml:space="preserve">to utilize the wide carrier, </w:t>
      </w:r>
      <w:r w:rsidR="00A7045B" w:rsidRPr="00F026D2">
        <w:rPr>
          <w:sz w:val="22"/>
          <w:szCs w:val="22"/>
        </w:rPr>
        <w:t xml:space="preserve">either carrier aggregation or BWP </w:t>
      </w:r>
      <w:r w:rsidR="00A7045B" w:rsidRPr="00F026D2">
        <w:rPr>
          <w:rFonts w:hint="eastAsia"/>
          <w:sz w:val="22"/>
          <w:szCs w:val="22"/>
        </w:rPr>
        <w:t>c</w:t>
      </w:r>
      <w:r w:rsidR="00A7045B" w:rsidRPr="00F026D2">
        <w:rPr>
          <w:sz w:val="22"/>
          <w:szCs w:val="22"/>
        </w:rPr>
        <w:t>an be con</w:t>
      </w:r>
      <w:r w:rsidR="00F026D2" w:rsidRPr="00F026D2">
        <w:rPr>
          <w:sz w:val="22"/>
          <w:szCs w:val="22"/>
        </w:rPr>
        <w:t>figured just illustrated in Figure 1.</w:t>
      </w:r>
      <w:r w:rsidR="00DA1CFE" w:rsidRPr="00F026D2">
        <w:rPr>
          <w:sz w:val="22"/>
          <w:szCs w:val="22"/>
        </w:rPr>
        <w:t xml:space="preserve">  </w:t>
      </w:r>
      <w:r w:rsidR="00DA1CFE">
        <w:rPr>
          <w:sz w:val="22"/>
          <w:szCs w:val="22"/>
        </w:rPr>
        <w:t xml:space="preserve">However, BWP is more flexible and power efficient compared to carrier aggregation to support wideband carrier. </w:t>
      </w:r>
    </w:p>
    <w:p w:rsidR="00DA1CFE" w:rsidRDefault="00DA1CFE" w:rsidP="00DA1CFE">
      <w:pPr>
        <w:spacing w:before="120" w:after="120"/>
        <w:jc w:val="both"/>
        <w:rPr>
          <w:sz w:val="22"/>
          <w:szCs w:val="22"/>
        </w:rPr>
      </w:pPr>
      <w:r>
        <w:rPr>
          <w:sz w:val="22"/>
          <w:szCs w:val="22"/>
        </w:rPr>
        <w:t xml:space="preserve">The background and basic BWP operation are discussed in our companion paper [2]. BWP </w:t>
      </w:r>
      <w:r>
        <w:rPr>
          <w:rFonts w:eastAsiaTheme="minorEastAsia" w:hint="eastAsia"/>
          <w:sz w:val="22"/>
          <w:szCs w:val="22"/>
          <w:lang w:eastAsia="zh-CN"/>
        </w:rPr>
        <w:t>(</w:t>
      </w:r>
      <w:r>
        <w:rPr>
          <w:rFonts w:eastAsiaTheme="minorEastAsia"/>
          <w:sz w:val="22"/>
          <w:szCs w:val="22"/>
          <w:lang w:eastAsia="zh-CN"/>
        </w:rPr>
        <w:t>re</w:t>
      </w:r>
      <w:r>
        <w:rPr>
          <w:rFonts w:eastAsiaTheme="minorEastAsia" w:hint="eastAsia"/>
          <w:sz w:val="22"/>
          <w:szCs w:val="22"/>
          <w:lang w:eastAsia="zh-CN"/>
        </w:rPr>
        <w:t>)</w:t>
      </w:r>
      <w:r>
        <w:rPr>
          <w:rFonts w:eastAsiaTheme="minorEastAsia"/>
          <w:sz w:val="22"/>
          <w:szCs w:val="22"/>
          <w:lang w:eastAsia="zh-CN"/>
        </w:rPr>
        <w:t xml:space="preserve">configuration and BWP activation/deactivation should be supported. </w:t>
      </w:r>
      <w:r>
        <w:rPr>
          <w:sz w:val="22"/>
          <w:szCs w:val="22"/>
        </w:rPr>
        <w:t>Each BWP is characterised by numerology, frequency location, and bandwidth, the parameters of which should be provided in BWP configuration.</w:t>
      </w:r>
    </w:p>
    <w:p w:rsidR="00F026D2" w:rsidRDefault="001528E2" w:rsidP="001528E2">
      <w:pPr>
        <w:tabs>
          <w:tab w:val="left" w:pos="720"/>
        </w:tabs>
        <w:jc w:val="center"/>
      </w:pPr>
      <w:r>
        <w:object w:dxaOrig="5640" w:dyaOrig="4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35pt;height:200.35pt" o:ole="">
            <v:imagedata r:id="rId8" o:title=""/>
          </v:shape>
          <o:OLEObject Type="Embed" ProgID="Visio.Drawing.15" ShapeID="_x0000_i1025" DrawAspect="Content" ObjectID="_1568190774" r:id="rId9"/>
        </w:object>
      </w:r>
    </w:p>
    <w:p w:rsidR="00F026D2" w:rsidRDefault="00F026D2" w:rsidP="00F026D2">
      <w:pPr>
        <w:tabs>
          <w:tab w:val="left" w:pos="720"/>
        </w:tabs>
        <w:jc w:val="center"/>
        <w:rPr>
          <w:b/>
        </w:rPr>
      </w:pPr>
      <w:r w:rsidRPr="00F026D2">
        <w:rPr>
          <w:b/>
        </w:rPr>
        <w:t>Figure 1 BWP Operation in a Wideband Carrier</w:t>
      </w:r>
    </w:p>
    <w:p w:rsidR="00954F73" w:rsidRPr="00406C03" w:rsidRDefault="00954F73" w:rsidP="004F4686">
      <w:pPr>
        <w:spacing w:before="120" w:after="120"/>
        <w:jc w:val="both"/>
        <w:rPr>
          <w:sz w:val="22"/>
          <w:szCs w:val="22"/>
        </w:rPr>
      </w:pPr>
      <w:r w:rsidRPr="00406C03">
        <w:rPr>
          <w:sz w:val="22"/>
          <w:szCs w:val="22"/>
        </w:rPr>
        <w:lastRenderedPageBreak/>
        <w:t>Multiple SSBs can be transmitted in the frequency domain within a wideband carrier. Two alternatives are discussed in RAN1 [</w:t>
      </w:r>
      <w:r w:rsidR="00DA1CFE">
        <w:rPr>
          <w:sz w:val="22"/>
          <w:szCs w:val="22"/>
        </w:rPr>
        <w:t>3</w:t>
      </w:r>
      <w:r w:rsidRPr="00406C03">
        <w:rPr>
          <w:sz w:val="22"/>
          <w:szCs w:val="22"/>
        </w:rPr>
        <w:t>], i.e. same PCI in all SSBs and different PCIs in different SSBs. In RAN1 AH#3 meeting, RAN1 agreed that a cell is associated with a single SS block from UE perspective</w:t>
      </w:r>
      <w:r w:rsidR="004F4686" w:rsidRPr="00406C03">
        <w:rPr>
          <w:sz w:val="22"/>
          <w:szCs w:val="22"/>
        </w:rPr>
        <w:t xml:space="preserve"> and the cell defining SS block has an associated RMSI. M</w:t>
      </w:r>
      <w:r w:rsidRPr="00406C03">
        <w:rPr>
          <w:sz w:val="22"/>
          <w:szCs w:val="22"/>
        </w:rPr>
        <w:t xml:space="preserve">ultiple SS blocks can be transmitted within the bandwidth of a wideband carrier. </w:t>
      </w:r>
    </w:p>
    <w:p w:rsidR="00E768AB" w:rsidRDefault="00406C03" w:rsidP="00E768AB">
      <w:pPr>
        <w:spacing w:before="120" w:after="120"/>
        <w:jc w:val="both"/>
        <w:rPr>
          <w:rFonts w:eastAsiaTheme="minorEastAsia"/>
          <w:sz w:val="22"/>
          <w:szCs w:val="22"/>
          <w:lang w:eastAsia="zh-CN"/>
        </w:rPr>
      </w:pPr>
      <w:r w:rsidRPr="00DA1CFE">
        <w:rPr>
          <w:rFonts w:eastAsiaTheme="minorEastAsia"/>
          <w:sz w:val="22"/>
          <w:szCs w:val="22"/>
          <w:lang w:eastAsia="zh-CN"/>
        </w:rPr>
        <w:t>If BWP is configured to utilize the wideband carrier, it can be considered as a procedure performed for each UE within UE-specific serving cell.</w:t>
      </w:r>
      <w:r w:rsidR="00A8114C">
        <w:rPr>
          <w:rFonts w:eastAsiaTheme="minorEastAsia"/>
          <w:sz w:val="22"/>
          <w:szCs w:val="22"/>
          <w:lang w:eastAsia="zh-CN"/>
        </w:rPr>
        <w:t xml:space="preserve"> From UE aspect, the configured BWPs are associated to the serving cells, </w:t>
      </w:r>
      <w:r w:rsidR="001E294B">
        <w:rPr>
          <w:rFonts w:eastAsiaTheme="minorEastAsia"/>
          <w:sz w:val="22"/>
          <w:szCs w:val="22"/>
          <w:lang w:eastAsia="zh-CN"/>
        </w:rPr>
        <w:t>no matter whether same or different PCIs are carrie</w:t>
      </w:r>
      <w:r w:rsidR="00A8114C">
        <w:rPr>
          <w:rFonts w:eastAsiaTheme="minorEastAsia"/>
          <w:sz w:val="22"/>
          <w:szCs w:val="22"/>
          <w:lang w:eastAsia="zh-CN"/>
        </w:rPr>
        <w:t xml:space="preserve">d in the SSBs of multiple BWPs. </w:t>
      </w:r>
      <w:r w:rsidR="001E294B">
        <w:rPr>
          <w:rFonts w:eastAsiaTheme="minorEastAsia"/>
          <w:sz w:val="22"/>
          <w:szCs w:val="22"/>
          <w:lang w:eastAsia="zh-CN"/>
        </w:rPr>
        <w:t xml:space="preserve">UE switching between BWPs are performed through BWP activation/deactivation without HO. </w:t>
      </w:r>
      <w:r w:rsidR="00DA1CFE" w:rsidRPr="00DA1CFE">
        <w:rPr>
          <w:rFonts w:eastAsiaTheme="minorEastAsia"/>
          <w:sz w:val="22"/>
          <w:szCs w:val="22"/>
          <w:lang w:eastAsia="zh-CN"/>
        </w:rPr>
        <w:t>From RAN2 aspect, both same and different PCIs in multiple SSBs of a wideband carrier can be supported.</w:t>
      </w:r>
    </w:p>
    <w:p w:rsidR="005B1853" w:rsidRPr="00862CC0" w:rsidRDefault="005B1853" w:rsidP="005B1853">
      <w:pPr>
        <w:spacing w:before="120" w:after="120"/>
        <w:jc w:val="both"/>
        <w:rPr>
          <w:b/>
          <w:sz w:val="22"/>
          <w:szCs w:val="22"/>
        </w:rPr>
      </w:pPr>
      <w:r w:rsidRPr="005B1853">
        <w:rPr>
          <w:b/>
          <w:sz w:val="22"/>
          <w:szCs w:val="22"/>
        </w:rPr>
        <w:t xml:space="preserve">Proposal </w:t>
      </w:r>
      <w:r w:rsidR="00DA1CFE">
        <w:rPr>
          <w:b/>
          <w:sz w:val="22"/>
          <w:szCs w:val="22"/>
        </w:rPr>
        <w:t>1</w:t>
      </w:r>
      <w:r w:rsidRPr="005B1853">
        <w:rPr>
          <w:b/>
          <w:sz w:val="22"/>
          <w:szCs w:val="22"/>
        </w:rPr>
        <w:t xml:space="preserve">: </w:t>
      </w:r>
      <w:r w:rsidRPr="00862CC0">
        <w:rPr>
          <w:b/>
          <w:sz w:val="22"/>
          <w:szCs w:val="22"/>
        </w:rPr>
        <w:t xml:space="preserve">Multiple SS blocks in the frequency domain are corresponding to the serving cell if BWP is configured for </w:t>
      </w:r>
      <w:r w:rsidR="00933136">
        <w:rPr>
          <w:b/>
          <w:sz w:val="22"/>
          <w:szCs w:val="22"/>
        </w:rPr>
        <w:t>a single</w:t>
      </w:r>
      <w:r w:rsidRPr="00862CC0">
        <w:rPr>
          <w:b/>
          <w:sz w:val="22"/>
          <w:szCs w:val="22"/>
        </w:rPr>
        <w:t xml:space="preserve"> wideband carrier. </w:t>
      </w:r>
    </w:p>
    <w:p w:rsidR="00494430" w:rsidRDefault="00494430" w:rsidP="00494430">
      <w:pPr>
        <w:pStyle w:val="Heading2"/>
        <w:spacing w:before="180" w:after="180"/>
        <w:ind w:left="1134" w:hanging="1134"/>
        <w:jc w:val="both"/>
        <w:rPr>
          <w:rFonts w:ascii="Arial" w:eastAsia="Malgun Gothic" w:hAnsi="Arial" w:cs="Times New Roman"/>
          <w:color w:val="auto"/>
          <w:sz w:val="32"/>
          <w:szCs w:val="20"/>
        </w:rPr>
      </w:pPr>
      <w:r>
        <w:rPr>
          <w:rFonts w:ascii="Arial" w:eastAsia="Malgun Gothic" w:hAnsi="Arial" w:cs="Times New Roman"/>
          <w:color w:val="auto"/>
          <w:sz w:val="32"/>
          <w:szCs w:val="20"/>
        </w:rPr>
        <w:t xml:space="preserve">2.2 </w:t>
      </w:r>
      <w:r w:rsidRPr="00494430">
        <w:rPr>
          <w:rFonts w:ascii="Arial" w:eastAsia="Malgun Gothic" w:hAnsi="Arial" w:cs="Times New Roman"/>
          <w:color w:val="auto"/>
          <w:sz w:val="32"/>
          <w:szCs w:val="20"/>
        </w:rPr>
        <w:t>Inter-cell Mobility</w:t>
      </w:r>
    </w:p>
    <w:p w:rsidR="00077E44" w:rsidRDefault="003F2679" w:rsidP="00752A7B">
      <w:pPr>
        <w:spacing w:before="120" w:after="120"/>
        <w:jc w:val="both"/>
        <w:rPr>
          <w:sz w:val="22"/>
          <w:szCs w:val="22"/>
        </w:rPr>
      </w:pPr>
      <w:r w:rsidRPr="00862CC0">
        <w:rPr>
          <w:sz w:val="22"/>
          <w:szCs w:val="22"/>
        </w:rPr>
        <w:t xml:space="preserve">If BWP is configured for a wideband carrier, HO can be performed based on the RRM measurement of a single BWP. It is FFS whether the particular BWP is explicit configured or a default BWP is used. </w:t>
      </w:r>
      <w:r w:rsidR="009B4010" w:rsidRPr="00FD1080">
        <w:rPr>
          <w:sz w:val="22"/>
          <w:szCs w:val="22"/>
        </w:rPr>
        <w:t xml:space="preserve">Just as illustrated in Figure </w:t>
      </w:r>
      <w:r>
        <w:rPr>
          <w:sz w:val="22"/>
          <w:szCs w:val="22"/>
        </w:rPr>
        <w:t>2</w:t>
      </w:r>
      <w:r w:rsidR="009B4010" w:rsidRPr="00FD1080">
        <w:rPr>
          <w:sz w:val="22"/>
          <w:szCs w:val="22"/>
        </w:rPr>
        <w:t xml:space="preserve">, </w:t>
      </w:r>
      <w:r w:rsidR="00862CC0">
        <w:rPr>
          <w:sz w:val="22"/>
          <w:szCs w:val="22"/>
        </w:rPr>
        <w:t xml:space="preserve">BWP1 is used for inter-cell mobility. After HO, other BWPs of the target cell can be configured then. HO together with BWPs addition in the target cell can be considered as a further optimization in later release. </w:t>
      </w:r>
      <w:r w:rsidR="00862CC0" w:rsidRPr="00720016">
        <w:rPr>
          <w:sz w:val="22"/>
          <w:szCs w:val="22"/>
        </w:rPr>
        <w:t xml:space="preserve">For the same carrier frequency, it’s desirable that the same BWP is used for both serving cell and neighbouring cell without MG and RF retuning at UE side. </w:t>
      </w:r>
      <w:r w:rsidR="00752A7B">
        <w:rPr>
          <w:sz w:val="22"/>
          <w:szCs w:val="22"/>
        </w:rPr>
        <w:t xml:space="preserve">If single SSB is transmitted in the BWP, inter-cell mobility is performed based on the RRM measurement on the SSB. If multiple SSBs are transmitted in the BWP, whether to support multiple-SSB RRM measurement is still under discussion in RAN1. </w:t>
      </w:r>
    </w:p>
    <w:p w:rsidR="009B4010" w:rsidRDefault="003F2679" w:rsidP="00077E44">
      <w:r>
        <w:object w:dxaOrig="10830" w:dyaOrig="3510">
          <v:shape id="_x0000_i1026" type="#_x0000_t75" style="width:467.05pt;height:151.5pt" o:ole="">
            <v:imagedata r:id="rId10" o:title=""/>
          </v:shape>
          <o:OLEObject Type="Embed" ProgID="Visio.Drawing.15" ShapeID="_x0000_i1026" DrawAspect="Content" ObjectID="_1568190775" r:id="rId11"/>
        </w:object>
      </w:r>
    </w:p>
    <w:p w:rsidR="009B4010" w:rsidRPr="00B205A0" w:rsidRDefault="009B4010" w:rsidP="009B4010">
      <w:pPr>
        <w:spacing w:before="120" w:after="120"/>
        <w:jc w:val="center"/>
        <w:rPr>
          <w:b/>
        </w:rPr>
      </w:pPr>
      <w:r w:rsidRPr="00F97F91">
        <w:rPr>
          <w:b/>
        </w:rPr>
        <w:t xml:space="preserve">Figure </w:t>
      </w:r>
      <w:r w:rsidR="00B9739E">
        <w:rPr>
          <w:b/>
        </w:rPr>
        <w:t>2</w:t>
      </w:r>
      <w:r w:rsidRPr="00F97F91">
        <w:rPr>
          <w:b/>
        </w:rPr>
        <w:t xml:space="preserve"> BWP operation within </w:t>
      </w:r>
      <w:r>
        <w:rPr>
          <w:b/>
        </w:rPr>
        <w:t>a serving cell</w:t>
      </w:r>
    </w:p>
    <w:p w:rsidR="009B4010" w:rsidRDefault="007479D8" w:rsidP="00436E56">
      <w:pPr>
        <w:spacing w:before="120" w:after="120"/>
        <w:jc w:val="both"/>
        <w:rPr>
          <w:b/>
          <w:sz w:val="22"/>
          <w:szCs w:val="22"/>
        </w:rPr>
      </w:pPr>
      <w:r>
        <w:rPr>
          <w:b/>
          <w:sz w:val="22"/>
          <w:szCs w:val="22"/>
        </w:rPr>
        <w:t>Proposal 2</w:t>
      </w:r>
      <w:r w:rsidR="00752A7B" w:rsidRPr="00436E56">
        <w:rPr>
          <w:b/>
          <w:sz w:val="22"/>
          <w:szCs w:val="22"/>
        </w:rPr>
        <w:t xml:space="preserve">: </w:t>
      </w:r>
      <w:r w:rsidR="00752A7B" w:rsidRPr="00720016">
        <w:rPr>
          <w:b/>
          <w:sz w:val="22"/>
          <w:szCs w:val="22"/>
        </w:rPr>
        <w:t xml:space="preserve">RRM measurement </w:t>
      </w:r>
      <w:r w:rsidR="00752A7B">
        <w:rPr>
          <w:b/>
          <w:sz w:val="22"/>
          <w:szCs w:val="22"/>
        </w:rPr>
        <w:t xml:space="preserve">on the single SSB </w:t>
      </w:r>
      <w:r w:rsidR="00752A7B" w:rsidRPr="00720016">
        <w:rPr>
          <w:b/>
          <w:sz w:val="22"/>
          <w:szCs w:val="22"/>
        </w:rPr>
        <w:t>is considered as the baseline for inter-cell mobility.</w:t>
      </w:r>
    </w:p>
    <w:p w:rsidR="007479D8" w:rsidRDefault="007479D8" w:rsidP="00436E56">
      <w:pPr>
        <w:spacing w:before="120" w:after="120"/>
        <w:jc w:val="both"/>
        <w:rPr>
          <w:b/>
          <w:sz w:val="22"/>
          <w:szCs w:val="22"/>
        </w:rPr>
      </w:pPr>
      <w:r w:rsidRPr="00894809">
        <w:rPr>
          <w:sz w:val="22"/>
          <w:szCs w:val="22"/>
        </w:rPr>
        <w:t>According to RAN4 agreement</w:t>
      </w:r>
      <w:r w:rsidR="00F32B0E">
        <w:rPr>
          <w:sz w:val="22"/>
          <w:szCs w:val="22"/>
        </w:rPr>
        <w:t xml:space="preserve"> [4]</w:t>
      </w:r>
      <w:r w:rsidRPr="00894809">
        <w:rPr>
          <w:sz w:val="22"/>
          <w:szCs w:val="22"/>
        </w:rPr>
        <w:t>, if multiple SSBs are transmitted in frequency domain in the serving cell of the UE</w:t>
      </w:r>
      <w:r w:rsidR="00894809">
        <w:rPr>
          <w:sz w:val="22"/>
          <w:szCs w:val="22"/>
        </w:rPr>
        <w:t xml:space="preserve">, the </w:t>
      </w:r>
      <w:r w:rsidR="00894809" w:rsidRPr="00894809">
        <w:rPr>
          <w:sz w:val="22"/>
          <w:szCs w:val="22"/>
        </w:rPr>
        <w:t xml:space="preserve">UE should be indicated with one specific SSB in the UE’s serving cell which is used for measurement for mobility </w:t>
      </w:r>
      <w:r w:rsidRPr="00894809">
        <w:rPr>
          <w:sz w:val="22"/>
          <w:szCs w:val="22"/>
        </w:rPr>
        <w:t>to make the UE measurement behaviour clear</w:t>
      </w:r>
      <w:r w:rsidR="00894809" w:rsidRPr="00894809">
        <w:rPr>
          <w:sz w:val="22"/>
          <w:szCs w:val="22"/>
        </w:rPr>
        <w:t xml:space="preserve">. </w:t>
      </w:r>
      <w:r w:rsidR="00894809">
        <w:rPr>
          <w:sz w:val="22"/>
          <w:szCs w:val="22"/>
        </w:rPr>
        <w:t>One straightway is that only one SSB</w:t>
      </w:r>
      <w:r w:rsidR="00894809" w:rsidRPr="00894809">
        <w:rPr>
          <w:sz w:val="22"/>
          <w:szCs w:val="22"/>
        </w:rPr>
        <w:t xml:space="preserve"> </w:t>
      </w:r>
      <w:r w:rsidR="00894809">
        <w:rPr>
          <w:sz w:val="22"/>
          <w:szCs w:val="22"/>
        </w:rPr>
        <w:t xml:space="preserve">configuration is included in the MO configuration, which is considered as the specific SSB for inter-cell mobility. </w:t>
      </w:r>
    </w:p>
    <w:p w:rsidR="00D216F7" w:rsidRDefault="00D216F7" w:rsidP="00436E56">
      <w:pPr>
        <w:spacing w:before="120" w:after="120"/>
        <w:jc w:val="both"/>
        <w:rPr>
          <w:b/>
          <w:sz w:val="22"/>
          <w:szCs w:val="22"/>
        </w:rPr>
      </w:pPr>
      <w:r>
        <w:rPr>
          <w:b/>
          <w:sz w:val="22"/>
          <w:szCs w:val="22"/>
        </w:rPr>
        <w:t xml:space="preserve">Proposal </w:t>
      </w:r>
      <w:r w:rsidR="00894809">
        <w:rPr>
          <w:b/>
          <w:sz w:val="22"/>
          <w:szCs w:val="22"/>
        </w:rPr>
        <w:t>3</w:t>
      </w:r>
      <w:r>
        <w:rPr>
          <w:b/>
          <w:sz w:val="22"/>
          <w:szCs w:val="22"/>
        </w:rPr>
        <w:t xml:space="preserve">: </w:t>
      </w:r>
      <w:r w:rsidR="00894809">
        <w:rPr>
          <w:b/>
          <w:sz w:val="22"/>
          <w:szCs w:val="22"/>
        </w:rPr>
        <w:t>The MO configuration has only one SSB configuration</w:t>
      </w:r>
      <w:r w:rsidR="00F32B0E">
        <w:rPr>
          <w:b/>
          <w:sz w:val="22"/>
          <w:szCs w:val="22"/>
        </w:rPr>
        <w:t xml:space="preserve"> </w:t>
      </w:r>
      <w:r w:rsidR="00F32B0E" w:rsidRPr="00F32B0E">
        <w:rPr>
          <w:b/>
          <w:sz w:val="22"/>
          <w:szCs w:val="22"/>
        </w:rPr>
        <w:t xml:space="preserve">for the carriers where SSB is present. </w:t>
      </w:r>
    </w:p>
    <w:p w:rsidR="003A03B6" w:rsidRDefault="00571D04" w:rsidP="00571D04">
      <w:pPr>
        <w:pStyle w:val="Heading2"/>
        <w:spacing w:before="180" w:after="180"/>
        <w:ind w:left="1134" w:hanging="1134"/>
        <w:jc w:val="both"/>
        <w:rPr>
          <w:rFonts w:ascii="Arial" w:eastAsia="Malgun Gothic" w:hAnsi="Arial" w:cs="Times New Roman"/>
          <w:color w:val="auto"/>
          <w:sz w:val="32"/>
          <w:szCs w:val="20"/>
        </w:rPr>
      </w:pPr>
      <w:r>
        <w:rPr>
          <w:rFonts w:ascii="Arial" w:eastAsia="Malgun Gothic" w:hAnsi="Arial" w:cs="Times New Roman"/>
          <w:color w:val="auto"/>
          <w:sz w:val="32"/>
          <w:szCs w:val="20"/>
        </w:rPr>
        <w:lastRenderedPageBreak/>
        <w:t xml:space="preserve">2.3 </w:t>
      </w:r>
      <w:r w:rsidRPr="00571D04">
        <w:rPr>
          <w:rFonts w:ascii="Arial" w:eastAsia="Malgun Gothic" w:hAnsi="Arial" w:cs="Times New Roman"/>
          <w:color w:val="auto"/>
          <w:sz w:val="32"/>
          <w:szCs w:val="20"/>
        </w:rPr>
        <w:t>RRM measurement</w:t>
      </w:r>
      <w:r>
        <w:rPr>
          <w:rFonts w:ascii="Arial" w:eastAsia="Malgun Gothic" w:hAnsi="Arial" w:cs="Times New Roman"/>
          <w:color w:val="auto"/>
          <w:sz w:val="32"/>
          <w:szCs w:val="20"/>
        </w:rPr>
        <w:t xml:space="preserve"> </w:t>
      </w:r>
      <w:r w:rsidR="00E8004A">
        <w:rPr>
          <w:rFonts w:ascii="Arial" w:eastAsia="Malgun Gothic" w:hAnsi="Arial" w:cs="Times New Roman"/>
          <w:color w:val="auto"/>
          <w:sz w:val="32"/>
          <w:szCs w:val="20"/>
        </w:rPr>
        <w:t>for</w:t>
      </w:r>
      <w:r>
        <w:rPr>
          <w:rFonts w:ascii="Arial" w:eastAsia="Malgun Gothic" w:hAnsi="Arial" w:cs="Times New Roman"/>
          <w:color w:val="auto"/>
          <w:sz w:val="32"/>
          <w:szCs w:val="20"/>
        </w:rPr>
        <w:t xml:space="preserve"> BWP </w:t>
      </w:r>
      <w:r w:rsidR="00BE5C9A">
        <w:rPr>
          <w:rFonts w:ascii="Arial" w:eastAsia="Malgun Gothic" w:hAnsi="Arial" w:cs="Times New Roman"/>
          <w:color w:val="auto"/>
          <w:sz w:val="32"/>
          <w:szCs w:val="20"/>
        </w:rPr>
        <w:t>Management</w:t>
      </w:r>
    </w:p>
    <w:p w:rsidR="00290BC4" w:rsidRPr="00720016" w:rsidRDefault="00AC69CB" w:rsidP="00BE5C9A">
      <w:pPr>
        <w:spacing w:before="120" w:after="120"/>
        <w:jc w:val="both"/>
        <w:rPr>
          <w:sz w:val="22"/>
          <w:szCs w:val="22"/>
        </w:rPr>
      </w:pPr>
      <w:r w:rsidRPr="00720016">
        <w:rPr>
          <w:sz w:val="22"/>
          <w:szCs w:val="22"/>
        </w:rPr>
        <w:t xml:space="preserve">In BWP operation, each carrier frequency is </w:t>
      </w:r>
      <w:r w:rsidR="00290BC4" w:rsidRPr="00720016">
        <w:rPr>
          <w:sz w:val="22"/>
          <w:szCs w:val="22"/>
        </w:rPr>
        <w:t xml:space="preserve">partitioned into different BWPs, which may or may not overlap with each other. In order to support BWP </w:t>
      </w:r>
      <w:r w:rsidR="00752A7B">
        <w:rPr>
          <w:sz w:val="22"/>
          <w:szCs w:val="22"/>
        </w:rPr>
        <w:t>reconfiguration and BWP activation/deactivation</w:t>
      </w:r>
      <w:r w:rsidR="00290BC4" w:rsidRPr="00720016">
        <w:rPr>
          <w:sz w:val="22"/>
          <w:szCs w:val="22"/>
        </w:rPr>
        <w:t xml:space="preserve">, </w:t>
      </w:r>
      <w:r w:rsidR="00F32B0E">
        <w:rPr>
          <w:sz w:val="22"/>
          <w:szCs w:val="22"/>
        </w:rPr>
        <w:t xml:space="preserve">either CSI or RRM measurement can be used to help network to decide how to manage different BWPs. Considering BWP operation is performed in the time scale of hundreds of ms, and the main purpose of BWP from UE side is to reduce UE power consumption, </w:t>
      </w:r>
      <w:r w:rsidR="00290BC4" w:rsidRPr="00720016">
        <w:rPr>
          <w:sz w:val="22"/>
          <w:szCs w:val="22"/>
        </w:rPr>
        <w:t xml:space="preserve">BWP-specific RRM measurement is </w:t>
      </w:r>
      <w:r w:rsidR="00F32B0E">
        <w:rPr>
          <w:sz w:val="22"/>
          <w:szCs w:val="22"/>
        </w:rPr>
        <w:t>preferred</w:t>
      </w:r>
      <w:r w:rsidR="00290BC4" w:rsidRPr="00720016">
        <w:rPr>
          <w:sz w:val="22"/>
          <w:szCs w:val="22"/>
        </w:rPr>
        <w:t xml:space="preserve">. UE performs RRM measurement on each BWP based on the measurement configuration. </w:t>
      </w:r>
    </w:p>
    <w:p w:rsidR="00C85985" w:rsidRPr="00436E56" w:rsidRDefault="00C85985" w:rsidP="00C85985">
      <w:pPr>
        <w:spacing w:before="120" w:after="120"/>
        <w:jc w:val="both"/>
        <w:rPr>
          <w:b/>
          <w:sz w:val="22"/>
          <w:szCs w:val="22"/>
        </w:rPr>
      </w:pPr>
      <w:r w:rsidRPr="00720016">
        <w:rPr>
          <w:b/>
          <w:sz w:val="22"/>
          <w:szCs w:val="22"/>
        </w:rPr>
        <w:t xml:space="preserve">Proposal </w:t>
      </w:r>
      <w:r w:rsidR="00F32B0E">
        <w:rPr>
          <w:b/>
          <w:sz w:val="22"/>
          <w:szCs w:val="22"/>
        </w:rPr>
        <w:t>4</w:t>
      </w:r>
      <w:r w:rsidRPr="00720016">
        <w:rPr>
          <w:b/>
          <w:sz w:val="22"/>
          <w:szCs w:val="22"/>
        </w:rPr>
        <w:t xml:space="preserve">: BWP-specific RRM measurement </w:t>
      </w:r>
      <w:r w:rsidR="00752A7B">
        <w:rPr>
          <w:b/>
          <w:sz w:val="22"/>
          <w:szCs w:val="22"/>
        </w:rPr>
        <w:t>is</w:t>
      </w:r>
      <w:r w:rsidRPr="00720016">
        <w:rPr>
          <w:b/>
          <w:sz w:val="22"/>
          <w:szCs w:val="22"/>
        </w:rPr>
        <w:t xml:space="preserve"> support</w:t>
      </w:r>
      <w:r w:rsidR="00752A7B">
        <w:rPr>
          <w:b/>
          <w:sz w:val="22"/>
          <w:szCs w:val="22"/>
        </w:rPr>
        <w:t>ed</w:t>
      </w:r>
      <w:r w:rsidR="00943DD0">
        <w:rPr>
          <w:b/>
          <w:sz w:val="22"/>
          <w:szCs w:val="22"/>
        </w:rPr>
        <w:t xml:space="preserve"> for BWP reconfiguration and BWP activation/deactivation. </w:t>
      </w:r>
    </w:p>
    <w:p w:rsidR="00EE4034" w:rsidRDefault="00290BC4" w:rsidP="00890678">
      <w:pPr>
        <w:spacing w:before="120" w:after="120"/>
        <w:jc w:val="both"/>
        <w:rPr>
          <w:sz w:val="22"/>
          <w:szCs w:val="22"/>
        </w:rPr>
      </w:pPr>
      <w:r w:rsidRPr="00720016">
        <w:rPr>
          <w:sz w:val="22"/>
          <w:szCs w:val="22"/>
        </w:rPr>
        <w:t>Based on current RRM measurement framework, one measurement object is per carrier frequency.</w:t>
      </w:r>
      <w:r w:rsidR="00C85985" w:rsidRPr="00720016">
        <w:rPr>
          <w:sz w:val="22"/>
          <w:szCs w:val="22"/>
        </w:rPr>
        <w:t xml:space="preserve"> For BWP operation</w:t>
      </w:r>
      <w:r w:rsidR="00040AFD" w:rsidRPr="00720016">
        <w:rPr>
          <w:sz w:val="22"/>
          <w:szCs w:val="22"/>
        </w:rPr>
        <w:t xml:space="preserve">, if RRM measurement is performed on </w:t>
      </w:r>
      <w:r w:rsidR="00C85985" w:rsidRPr="00720016">
        <w:rPr>
          <w:sz w:val="22"/>
          <w:szCs w:val="22"/>
        </w:rPr>
        <w:t>differ</w:t>
      </w:r>
      <w:r w:rsidR="00040AFD" w:rsidRPr="00720016">
        <w:rPr>
          <w:sz w:val="22"/>
          <w:szCs w:val="22"/>
        </w:rPr>
        <w:t>ent BWPs of a carrier frequency, how to provide the measurement configuration need to be considered.</w:t>
      </w:r>
    </w:p>
    <w:p w:rsidR="00C9692A" w:rsidRDefault="00C9692A" w:rsidP="00890678">
      <w:pPr>
        <w:spacing w:before="120" w:after="120"/>
        <w:jc w:val="both"/>
        <w:rPr>
          <w:sz w:val="22"/>
          <w:szCs w:val="22"/>
        </w:rPr>
      </w:pPr>
      <w:r>
        <w:rPr>
          <w:sz w:val="22"/>
          <w:szCs w:val="22"/>
        </w:rPr>
        <w:t>Two options can be considered:</w:t>
      </w:r>
    </w:p>
    <w:p w:rsidR="00C9692A" w:rsidRPr="00C9692A" w:rsidRDefault="00C9692A" w:rsidP="00C9692A">
      <w:pPr>
        <w:pStyle w:val="ListParagraph"/>
        <w:numPr>
          <w:ilvl w:val="0"/>
          <w:numId w:val="26"/>
        </w:numPr>
        <w:spacing w:before="120" w:after="120"/>
        <w:jc w:val="both"/>
        <w:rPr>
          <w:rFonts w:ascii="Times New Roman" w:hAnsi="Times New Roman" w:cs="Times New Roman"/>
        </w:rPr>
      </w:pPr>
      <w:r w:rsidRPr="00C9692A">
        <w:rPr>
          <w:rFonts w:ascii="Times New Roman" w:hAnsi="Times New Roman" w:cs="Times New Roman"/>
        </w:rPr>
        <w:t>Option 1: Different BWPs are considered as different parts of a measurement object.</w:t>
      </w:r>
      <w:r w:rsidRPr="00C9692A">
        <w:rPr>
          <w:rFonts w:ascii="Times New Roman" w:hAnsi="Times New Roman" w:cs="Times New Roman"/>
          <w:bCs/>
        </w:rPr>
        <w:t xml:space="preserve">  </w:t>
      </w:r>
    </w:p>
    <w:p w:rsidR="00C9692A" w:rsidRPr="00C9692A" w:rsidRDefault="00C9692A" w:rsidP="00C9692A">
      <w:pPr>
        <w:pStyle w:val="ListParagraph"/>
        <w:numPr>
          <w:ilvl w:val="0"/>
          <w:numId w:val="26"/>
        </w:numPr>
        <w:spacing w:before="120" w:after="120"/>
        <w:jc w:val="both"/>
        <w:rPr>
          <w:rFonts w:ascii="Times New Roman" w:hAnsi="Times New Roman" w:cs="Times New Roman"/>
        </w:rPr>
      </w:pPr>
      <w:r w:rsidRPr="00C9692A">
        <w:rPr>
          <w:rFonts w:ascii="Times New Roman" w:hAnsi="Times New Roman" w:cs="Times New Roman"/>
        </w:rPr>
        <w:t>Option 2: Different BWPs are considered as different measurement objects.</w:t>
      </w:r>
    </w:p>
    <w:p w:rsidR="00C9692A" w:rsidRPr="00C9692A" w:rsidRDefault="00C9692A" w:rsidP="00890678">
      <w:pPr>
        <w:spacing w:before="120" w:after="120"/>
        <w:jc w:val="both"/>
        <w:rPr>
          <w:sz w:val="22"/>
          <w:szCs w:val="22"/>
          <w:lang w:val="en-US"/>
        </w:rPr>
        <w:sectPr w:rsidR="00C9692A" w:rsidRPr="00C9692A" w:rsidSect="00EE4034">
          <w:type w:val="continuous"/>
          <w:pgSz w:w="12240" w:h="15840"/>
          <w:pgMar w:top="1440" w:right="1440" w:bottom="1440" w:left="1440" w:header="720" w:footer="720" w:gutter="0"/>
          <w:cols w:space="720"/>
          <w:docGrid w:linePitch="360"/>
        </w:sectPr>
      </w:pPr>
    </w:p>
    <w:p w:rsidR="00B9739E" w:rsidRPr="00B9739E" w:rsidRDefault="00EE4034" w:rsidP="00890678">
      <w:pPr>
        <w:spacing w:before="120" w:after="120"/>
        <w:jc w:val="both"/>
        <w:rPr>
          <w:sz w:val="22"/>
          <w:szCs w:val="22"/>
        </w:rPr>
      </w:pPr>
      <w:r w:rsidRPr="00EE4034">
        <w:rPr>
          <w:noProof/>
          <w:lang w:val="en-US" w:eastAsia="zh-CN"/>
        </w:rPr>
        <w:lastRenderedPageBreak/>
        <w:drawing>
          <wp:inline distT="0" distB="0" distL="0" distR="0" wp14:anchorId="720F9E26" wp14:editId="5C33020D">
            <wp:extent cx="3114451" cy="27527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76458" cy="2807530"/>
                    </a:xfrm>
                    <a:prstGeom prst="rect">
                      <a:avLst/>
                    </a:prstGeom>
                    <a:noFill/>
                    <a:ln>
                      <a:noFill/>
                    </a:ln>
                  </pic:spPr>
                </pic:pic>
              </a:graphicData>
            </a:graphic>
          </wp:inline>
        </w:drawing>
      </w:r>
      <w:r w:rsidR="00B9739E" w:rsidRPr="00B9739E">
        <w:rPr>
          <w:b/>
        </w:rPr>
        <w:t>Figure 3 MO</w:t>
      </w:r>
      <w:r w:rsidR="00B9739E">
        <w:rPr>
          <w:b/>
        </w:rPr>
        <w:t xml:space="preserve"> Configuration considering BWP</w:t>
      </w:r>
    </w:p>
    <w:p w:rsidR="00B9739E" w:rsidRDefault="00B9739E" w:rsidP="00B9739E">
      <w:pPr>
        <w:spacing w:before="120" w:after="120"/>
        <w:jc w:val="both"/>
        <w:rPr>
          <w:sz w:val="22"/>
          <w:szCs w:val="22"/>
        </w:rPr>
      </w:pPr>
      <w:r>
        <w:rPr>
          <w:sz w:val="22"/>
          <w:szCs w:val="22"/>
        </w:rPr>
        <w:lastRenderedPageBreak/>
        <w:t xml:space="preserve">In option 1, </w:t>
      </w:r>
      <w:r w:rsidRPr="00720016">
        <w:rPr>
          <w:sz w:val="22"/>
          <w:szCs w:val="22"/>
        </w:rPr>
        <w:t>different BWPs are considered as different parts of a measurement object.</w:t>
      </w:r>
      <w:r w:rsidRPr="00720016">
        <w:rPr>
          <w:bCs/>
          <w:sz w:val="22"/>
          <w:szCs w:val="22"/>
        </w:rPr>
        <w:t xml:space="preserve">  Furthermore, each BWP is identified by a logical ID.  The association between parts of the MO, i.e. a BWP to a report configuration can be </w:t>
      </w:r>
      <w:r>
        <w:rPr>
          <w:bCs/>
          <w:sz w:val="22"/>
          <w:szCs w:val="22"/>
        </w:rPr>
        <w:t>linked by different measurement ID</w:t>
      </w:r>
      <w:r w:rsidRPr="00720016">
        <w:rPr>
          <w:bCs/>
          <w:sz w:val="22"/>
          <w:szCs w:val="22"/>
        </w:rPr>
        <w:t xml:space="preserve">. </w:t>
      </w:r>
      <w:r>
        <w:rPr>
          <w:bCs/>
          <w:sz w:val="22"/>
          <w:szCs w:val="22"/>
        </w:rPr>
        <w:t xml:space="preserve">How to configure the linkage for each measurement ID can be discussed further. </w:t>
      </w:r>
    </w:p>
    <w:p w:rsidR="00B9739E" w:rsidRDefault="00B9739E" w:rsidP="00B9739E">
      <w:pPr>
        <w:spacing w:before="120" w:after="120"/>
        <w:jc w:val="both"/>
        <w:rPr>
          <w:sz w:val="22"/>
          <w:szCs w:val="22"/>
        </w:rPr>
      </w:pPr>
      <w:r>
        <w:rPr>
          <w:sz w:val="22"/>
          <w:szCs w:val="22"/>
        </w:rPr>
        <w:t>In option 2</w:t>
      </w:r>
      <w:r w:rsidRPr="00720016">
        <w:rPr>
          <w:sz w:val="22"/>
          <w:szCs w:val="22"/>
        </w:rPr>
        <w:t xml:space="preserve"> each BWP is configured as one MO. So the association between each BWP and the measurement report configuration is very straightforward by the linkage of one measurement ID. However, the problem is that large number of </w:t>
      </w:r>
      <w:r>
        <w:rPr>
          <w:sz w:val="22"/>
          <w:szCs w:val="22"/>
        </w:rPr>
        <w:t>measurement object is expected.</w:t>
      </w:r>
    </w:p>
    <w:p w:rsidR="00B9739E" w:rsidRDefault="00B9739E" w:rsidP="00890678">
      <w:pPr>
        <w:spacing w:before="120" w:after="120"/>
        <w:jc w:val="both"/>
        <w:rPr>
          <w:b/>
        </w:rPr>
        <w:sectPr w:rsidR="00B9739E" w:rsidSect="00B9739E">
          <w:type w:val="continuous"/>
          <w:pgSz w:w="12240" w:h="15840"/>
          <w:pgMar w:top="1440" w:right="1440" w:bottom="1440" w:left="1440" w:header="720" w:footer="720" w:gutter="0"/>
          <w:cols w:num="2" w:space="720"/>
          <w:docGrid w:linePitch="360"/>
        </w:sectPr>
      </w:pPr>
    </w:p>
    <w:p w:rsidR="00F32B0E" w:rsidRPr="000D7687" w:rsidRDefault="00F32B0E" w:rsidP="004F3E19">
      <w:pPr>
        <w:spacing w:before="120" w:after="120"/>
        <w:jc w:val="both"/>
        <w:rPr>
          <w:sz w:val="22"/>
          <w:szCs w:val="22"/>
        </w:rPr>
      </w:pPr>
      <w:r w:rsidRPr="000D7687">
        <w:rPr>
          <w:sz w:val="22"/>
          <w:szCs w:val="22"/>
        </w:rPr>
        <w:lastRenderedPageBreak/>
        <w:t>From RAN2 aspect, both of the configuration options can be supported</w:t>
      </w:r>
      <w:r w:rsidR="00C9692A" w:rsidRPr="000D7687">
        <w:rPr>
          <w:sz w:val="22"/>
          <w:szCs w:val="22"/>
        </w:rPr>
        <w:t xml:space="preserve">. </w:t>
      </w:r>
      <w:r w:rsidR="004F3E19">
        <w:rPr>
          <w:sz w:val="22"/>
          <w:szCs w:val="22"/>
        </w:rPr>
        <w:t>However,</w:t>
      </w:r>
      <w:r w:rsidR="00C9692A" w:rsidRPr="000D7687">
        <w:rPr>
          <w:sz w:val="22"/>
          <w:szCs w:val="22"/>
        </w:rPr>
        <w:t xml:space="preserve"> </w:t>
      </w:r>
      <w:r w:rsidR="004F3E19">
        <w:rPr>
          <w:sz w:val="22"/>
          <w:szCs w:val="22"/>
        </w:rPr>
        <w:t>there is big difference on the</w:t>
      </w:r>
      <w:r w:rsidR="00C9692A" w:rsidRPr="000D7687">
        <w:rPr>
          <w:sz w:val="22"/>
          <w:szCs w:val="22"/>
        </w:rPr>
        <w:t xml:space="preserve"> transition time for BWP adaptation </w:t>
      </w:r>
      <w:r w:rsidR="000D7687" w:rsidRPr="000D7687">
        <w:rPr>
          <w:sz w:val="22"/>
          <w:szCs w:val="22"/>
        </w:rPr>
        <w:t xml:space="preserve">in intra-band and inter-band </w:t>
      </w:r>
      <w:r w:rsidR="004F3E19" w:rsidRPr="000D7687">
        <w:rPr>
          <w:sz w:val="22"/>
          <w:szCs w:val="22"/>
        </w:rPr>
        <w:t>cases</w:t>
      </w:r>
      <w:r w:rsidR="004F3E19">
        <w:rPr>
          <w:sz w:val="22"/>
          <w:szCs w:val="22"/>
        </w:rPr>
        <w:t xml:space="preserve"> [</w:t>
      </w:r>
      <w:r w:rsidR="002170E9">
        <w:rPr>
          <w:sz w:val="22"/>
          <w:szCs w:val="22"/>
        </w:rPr>
        <w:t>5]</w:t>
      </w:r>
      <w:r w:rsidR="004F3E19">
        <w:rPr>
          <w:sz w:val="22"/>
          <w:szCs w:val="22"/>
        </w:rPr>
        <w:t xml:space="preserve">. For </w:t>
      </w:r>
      <w:r w:rsidR="004F3E19" w:rsidRPr="004F3E19">
        <w:rPr>
          <w:sz w:val="22"/>
          <w:szCs w:val="22"/>
          <w:lang w:val="en-US"/>
        </w:rPr>
        <w:t>intra-band operation, at least for sub6, the transition time is 50~200 µs if the center frequency is different before and after the bandwidth adaptation</w:t>
      </w:r>
      <w:r w:rsidR="004F3E19">
        <w:rPr>
          <w:sz w:val="22"/>
          <w:szCs w:val="22"/>
          <w:lang w:val="en-US"/>
        </w:rPr>
        <w:t>; f</w:t>
      </w:r>
      <w:r w:rsidR="004F3E19" w:rsidRPr="004F3E19">
        <w:rPr>
          <w:sz w:val="22"/>
          <w:szCs w:val="22"/>
          <w:lang w:val="en-US"/>
        </w:rPr>
        <w:t>or inter-band operation, at least for sub6, the transition time can be up to 900 µs</w:t>
      </w:r>
      <w:r w:rsidR="004F3E19">
        <w:rPr>
          <w:sz w:val="22"/>
          <w:szCs w:val="22"/>
          <w:lang w:val="en-US"/>
        </w:rPr>
        <w:t xml:space="preserve">. </w:t>
      </w:r>
      <w:r w:rsidR="000D7687" w:rsidRPr="000D7687">
        <w:rPr>
          <w:sz w:val="22"/>
          <w:szCs w:val="22"/>
        </w:rPr>
        <w:t xml:space="preserve"> </w:t>
      </w:r>
      <w:r w:rsidR="00643D86" w:rsidRPr="000D7687">
        <w:rPr>
          <w:sz w:val="22"/>
          <w:szCs w:val="22"/>
        </w:rPr>
        <w:t>UE should know whether the center freq</w:t>
      </w:r>
      <w:r w:rsidR="000D7687" w:rsidRPr="000D7687">
        <w:rPr>
          <w:sz w:val="22"/>
          <w:szCs w:val="22"/>
        </w:rPr>
        <w:t xml:space="preserve">uencies for different BWPs are inter- or intra-band. Option 1 is straightforward and UE knows the BWPs in the same MO are intra-band BWPs. </w:t>
      </w:r>
    </w:p>
    <w:p w:rsidR="00B9739E" w:rsidRPr="000E2C29" w:rsidRDefault="001D489E" w:rsidP="000D7687">
      <w:pPr>
        <w:spacing w:before="120" w:after="120"/>
        <w:jc w:val="both"/>
        <w:rPr>
          <w:b/>
          <w:sz w:val="22"/>
          <w:szCs w:val="22"/>
        </w:rPr>
      </w:pPr>
      <w:r w:rsidRPr="00B9739E">
        <w:rPr>
          <w:b/>
          <w:sz w:val="22"/>
          <w:szCs w:val="22"/>
        </w:rPr>
        <w:t xml:space="preserve">Proposal </w:t>
      </w:r>
      <w:r w:rsidR="000D7687">
        <w:rPr>
          <w:b/>
          <w:sz w:val="22"/>
          <w:szCs w:val="22"/>
        </w:rPr>
        <w:t>5</w:t>
      </w:r>
      <w:r w:rsidRPr="00B9739E">
        <w:rPr>
          <w:b/>
          <w:sz w:val="22"/>
          <w:szCs w:val="22"/>
        </w:rPr>
        <w:t xml:space="preserve">: </w:t>
      </w:r>
      <w:r w:rsidR="00B9739E" w:rsidRPr="000E2C29">
        <w:rPr>
          <w:b/>
          <w:sz w:val="22"/>
          <w:szCs w:val="22"/>
        </w:rPr>
        <w:t>Different BWPs are considered as differen</w:t>
      </w:r>
      <w:r w:rsidR="000D7687" w:rsidRPr="000E2C29">
        <w:rPr>
          <w:b/>
          <w:sz w:val="22"/>
          <w:szCs w:val="22"/>
        </w:rPr>
        <w:t xml:space="preserve">t parts of a measurement object is preferred. </w:t>
      </w:r>
    </w:p>
    <w:p w:rsidR="001204E6" w:rsidRPr="00720016" w:rsidRDefault="001204E6" w:rsidP="00890678">
      <w:pPr>
        <w:spacing w:before="120" w:after="120"/>
        <w:jc w:val="both"/>
        <w:rPr>
          <w:b/>
          <w:sz w:val="22"/>
          <w:szCs w:val="22"/>
        </w:rPr>
      </w:pPr>
      <w:r w:rsidRPr="00720016">
        <w:rPr>
          <w:b/>
          <w:sz w:val="22"/>
          <w:szCs w:val="22"/>
        </w:rPr>
        <w:t xml:space="preserve">Proposal </w:t>
      </w:r>
      <w:r w:rsidR="000D7687">
        <w:rPr>
          <w:b/>
          <w:sz w:val="22"/>
          <w:szCs w:val="22"/>
        </w:rPr>
        <w:t>6</w:t>
      </w:r>
      <w:r w:rsidRPr="00720016">
        <w:rPr>
          <w:b/>
          <w:sz w:val="22"/>
          <w:szCs w:val="22"/>
        </w:rPr>
        <w:t xml:space="preserve">: BWP-specific measurement result is provided in the measurement report. </w:t>
      </w:r>
    </w:p>
    <w:p w:rsidR="00B9739E" w:rsidRDefault="00B9739E" w:rsidP="00F83ABC">
      <w:pPr>
        <w:spacing w:before="120" w:after="120"/>
        <w:jc w:val="both"/>
        <w:rPr>
          <w:sz w:val="22"/>
          <w:szCs w:val="22"/>
        </w:rPr>
        <w:sectPr w:rsidR="00B9739E" w:rsidSect="00B9739E">
          <w:type w:val="continuous"/>
          <w:pgSz w:w="12240" w:h="15840"/>
          <w:pgMar w:top="1440" w:right="1440" w:bottom="1440" w:left="1440" w:header="720" w:footer="720" w:gutter="0"/>
          <w:cols w:space="720"/>
          <w:docGrid w:linePitch="360"/>
        </w:sectPr>
      </w:pPr>
    </w:p>
    <w:p w:rsidR="00F83ABC" w:rsidRPr="002E451E" w:rsidRDefault="00AE36C2" w:rsidP="00F83ABC">
      <w:pPr>
        <w:spacing w:before="120" w:after="120"/>
        <w:jc w:val="both"/>
        <w:rPr>
          <w:sz w:val="22"/>
          <w:szCs w:val="22"/>
        </w:rPr>
      </w:pPr>
      <w:r w:rsidRPr="002E451E">
        <w:rPr>
          <w:sz w:val="22"/>
          <w:szCs w:val="22"/>
        </w:rPr>
        <w:lastRenderedPageBreak/>
        <w:t xml:space="preserve">Furthermore, measurement report triggering events are required to trigger BWP-specific measurement report. </w:t>
      </w:r>
      <w:r w:rsidR="00895AB5" w:rsidRPr="002E451E">
        <w:rPr>
          <w:sz w:val="22"/>
          <w:szCs w:val="22"/>
        </w:rPr>
        <w:t>Current</w:t>
      </w:r>
      <w:r w:rsidR="001204E6" w:rsidRPr="002E451E">
        <w:rPr>
          <w:sz w:val="22"/>
          <w:szCs w:val="22"/>
        </w:rPr>
        <w:t xml:space="preserve"> cell-based measurement </w:t>
      </w:r>
      <w:r w:rsidRPr="002E451E">
        <w:rPr>
          <w:sz w:val="22"/>
          <w:szCs w:val="22"/>
        </w:rPr>
        <w:t xml:space="preserve">report triggering events </w:t>
      </w:r>
      <w:r w:rsidR="00895AB5" w:rsidRPr="002E451E">
        <w:rPr>
          <w:sz w:val="22"/>
          <w:szCs w:val="22"/>
        </w:rPr>
        <w:t>A1~A</w:t>
      </w:r>
      <w:r w:rsidR="00F83ABC" w:rsidRPr="002E451E">
        <w:rPr>
          <w:sz w:val="22"/>
          <w:szCs w:val="22"/>
        </w:rPr>
        <w:t>5</w:t>
      </w:r>
      <w:r w:rsidR="00895AB5" w:rsidRPr="002E451E">
        <w:rPr>
          <w:sz w:val="22"/>
          <w:szCs w:val="22"/>
        </w:rPr>
        <w:t xml:space="preserve"> can be used and generalized for BWP-specific measurement report. In order to support BWP addition, A4 event (Neighbour becomes better than threshold) can be used to add BWPs based on absolute quality of the BWP, A3 event can also be used </w:t>
      </w:r>
      <w:r w:rsidR="00895AB5" w:rsidRPr="002E451E">
        <w:rPr>
          <w:sz w:val="22"/>
          <w:szCs w:val="22"/>
        </w:rPr>
        <w:lastRenderedPageBreak/>
        <w:t>to add BWPs which have a quantity comparable to the serving BWP. For BWP removal, A2 event (Serving becomes worse than threshold) can be used to remove BWPs based on absolute quality of the BWP</w:t>
      </w:r>
      <w:r w:rsidR="00F83ABC" w:rsidRPr="002E451E">
        <w:rPr>
          <w:sz w:val="22"/>
          <w:szCs w:val="22"/>
        </w:rPr>
        <w:t>, e.g. exclude all BWPs without a sufficient quantity</w:t>
      </w:r>
      <w:r w:rsidR="00895AB5" w:rsidRPr="002E451E">
        <w:rPr>
          <w:sz w:val="22"/>
          <w:szCs w:val="22"/>
        </w:rPr>
        <w:t>.</w:t>
      </w:r>
      <w:r w:rsidR="00F83ABC" w:rsidRPr="002E451E">
        <w:rPr>
          <w:sz w:val="22"/>
          <w:szCs w:val="22"/>
        </w:rPr>
        <w:t xml:space="preserve"> A3 event (Neighbour becomes offset better than serving can be used to replace a BWP with another when a non-serving BWP is better than the serving BWP.</w:t>
      </w:r>
    </w:p>
    <w:p w:rsidR="00F83ABC" w:rsidRDefault="00F83ABC" w:rsidP="00F83ABC">
      <w:pPr>
        <w:spacing w:before="120" w:after="120"/>
        <w:jc w:val="both"/>
        <w:rPr>
          <w:b/>
          <w:sz w:val="22"/>
          <w:szCs w:val="22"/>
        </w:rPr>
      </w:pPr>
      <w:r w:rsidRPr="002E451E">
        <w:rPr>
          <w:b/>
          <w:sz w:val="22"/>
          <w:szCs w:val="22"/>
        </w:rPr>
        <w:t xml:space="preserve">Proposal </w:t>
      </w:r>
      <w:r w:rsidR="000D7687">
        <w:rPr>
          <w:b/>
          <w:sz w:val="22"/>
          <w:szCs w:val="22"/>
        </w:rPr>
        <w:t>7</w:t>
      </w:r>
      <w:r w:rsidRPr="002E451E">
        <w:rPr>
          <w:b/>
          <w:sz w:val="22"/>
          <w:szCs w:val="22"/>
        </w:rPr>
        <w:t xml:space="preserve">: A1~A5 are generalized to trigger </w:t>
      </w:r>
      <w:r w:rsidR="00B9739E">
        <w:rPr>
          <w:b/>
          <w:sz w:val="22"/>
          <w:szCs w:val="22"/>
        </w:rPr>
        <w:t>BWP-specific measurement report</w:t>
      </w:r>
      <w:r w:rsidR="001F6635" w:rsidRPr="002E451E">
        <w:rPr>
          <w:b/>
          <w:sz w:val="22"/>
          <w:szCs w:val="22"/>
        </w:rPr>
        <w:t>.</w:t>
      </w:r>
    </w:p>
    <w:p w:rsidR="00A618EA" w:rsidRDefault="00A618EA" w:rsidP="00A618EA">
      <w:pPr>
        <w:pStyle w:val="Heading1"/>
        <w:ind w:left="0" w:firstLine="0"/>
        <w:rPr>
          <w:lang w:val="en-US" w:eastAsia="ko-KR"/>
        </w:rPr>
      </w:pPr>
      <w:r>
        <w:rPr>
          <w:lang w:val="en-US" w:eastAsia="ko-KR"/>
        </w:rPr>
        <w:t>3 Conclusions</w:t>
      </w:r>
    </w:p>
    <w:p w:rsidR="00436E56" w:rsidRPr="00436E56" w:rsidRDefault="00A618EA" w:rsidP="002E1E91">
      <w:pPr>
        <w:spacing w:before="120" w:after="120"/>
        <w:rPr>
          <w:b/>
          <w:sz w:val="22"/>
          <w:szCs w:val="22"/>
        </w:rPr>
      </w:pPr>
      <w:r w:rsidRPr="00436E56">
        <w:rPr>
          <w:sz w:val="22"/>
          <w:szCs w:val="22"/>
        </w:rPr>
        <w:t xml:space="preserve">In this contribution, we discuss </w:t>
      </w:r>
      <w:r w:rsidR="00436E56" w:rsidRPr="00436E56">
        <w:rPr>
          <w:sz w:val="22"/>
          <w:szCs w:val="22"/>
        </w:rPr>
        <w:t xml:space="preserve">the impact of same/different PCIs of a wideband carrier and RRM measurement for BWP. </w:t>
      </w:r>
      <w:r w:rsidR="0073466E" w:rsidRPr="00436E56">
        <w:rPr>
          <w:sz w:val="22"/>
          <w:szCs w:val="22"/>
        </w:rPr>
        <w:t xml:space="preserve"> </w:t>
      </w:r>
    </w:p>
    <w:p w:rsidR="00A618EA" w:rsidRPr="00436E56" w:rsidRDefault="00A618EA" w:rsidP="00A618EA">
      <w:pPr>
        <w:spacing w:before="120" w:after="120"/>
        <w:rPr>
          <w:sz w:val="22"/>
          <w:szCs w:val="22"/>
        </w:rPr>
      </w:pPr>
      <w:r w:rsidRPr="00436E56">
        <w:rPr>
          <w:sz w:val="22"/>
          <w:szCs w:val="22"/>
        </w:rPr>
        <w:t>We propose:</w:t>
      </w:r>
    </w:p>
    <w:p w:rsidR="002E1E91" w:rsidRPr="00862CC0" w:rsidRDefault="002E1E91" w:rsidP="002E1E91">
      <w:pPr>
        <w:spacing w:before="120" w:after="120"/>
        <w:jc w:val="both"/>
        <w:rPr>
          <w:b/>
          <w:sz w:val="22"/>
          <w:szCs w:val="22"/>
        </w:rPr>
      </w:pPr>
      <w:r w:rsidRPr="005B1853">
        <w:rPr>
          <w:b/>
          <w:sz w:val="22"/>
          <w:szCs w:val="22"/>
        </w:rPr>
        <w:t xml:space="preserve">Proposal </w:t>
      </w:r>
      <w:r>
        <w:rPr>
          <w:b/>
          <w:sz w:val="22"/>
          <w:szCs w:val="22"/>
        </w:rPr>
        <w:t>1</w:t>
      </w:r>
      <w:r w:rsidRPr="005B1853">
        <w:rPr>
          <w:b/>
          <w:sz w:val="22"/>
          <w:szCs w:val="22"/>
        </w:rPr>
        <w:t xml:space="preserve">: </w:t>
      </w:r>
      <w:r w:rsidRPr="00862CC0">
        <w:rPr>
          <w:b/>
          <w:sz w:val="22"/>
          <w:szCs w:val="22"/>
        </w:rPr>
        <w:t xml:space="preserve">Multiple SS blocks in the frequency domain are corresponding to the serving cell if BWP is configured for </w:t>
      </w:r>
      <w:r>
        <w:rPr>
          <w:b/>
          <w:sz w:val="22"/>
          <w:szCs w:val="22"/>
        </w:rPr>
        <w:t>a single</w:t>
      </w:r>
      <w:r w:rsidRPr="00862CC0">
        <w:rPr>
          <w:b/>
          <w:sz w:val="22"/>
          <w:szCs w:val="22"/>
        </w:rPr>
        <w:t xml:space="preserve"> wideband carrier. </w:t>
      </w:r>
    </w:p>
    <w:p w:rsidR="002E1E91" w:rsidRDefault="002E1E91" w:rsidP="002E1E91">
      <w:pPr>
        <w:spacing w:before="120" w:after="120"/>
        <w:jc w:val="both"/>
        <w:rPr>
          <w:b/>
          <w:sz w:val="22"/>
          <w:szCs w:val="22"/>
        </w:rPr>
      </w:pPr>
      <w:r>
        <w:rPr>
          <w:b/>
          <w:sz w:val="22"/>
          <w:szCs w:val="22"/>
        </w:rPr>
        <w:t>Proposal 2</w:t>
      </w:r>
      <w:r w:rsidRPr="00436E56">
        <w:rPr>
          <w:b/>
          <w:sz w:val="22"/>
          <w:szCs w:val="22"/>
        </w:rPr>
        <w:t xml:space="preserve">: </w:t>
      </w:r>
      <w:r w:rsidRPr="00720016">
        <w:rPr>
          <w:b/>
          <w:sz w:val="22"/>
          <w:szCs w:val="22"/>
        </w:rPr>
        <w:t xml:space="preserve">RRM measurement </w:t>
      </w:r>
      <w:r>
        <w:rPr>
          <w:b/>
          <w:sz w:val="22"/>
          <w:szCs w:val="22"/>
        </w:rPr>
        <w:t xml:space="preserve">on the single SSB </w:t>
      </w:r>
      <w:r w:rsidRPr="00720016">
        <w:rPr>
          <w:b/>
          <w:sz w:val="22"/>
          <w:szCs w:val="22"/>
        </w:rPr>
        <w:t>is considered as the baseline for inter-cell mobility.</w:t>
      </w:r>
    </w:p>
    <w:p w:rsidR="002E1E91" w:rsidRDefault="002E1E91" w:rsidP="002E1E91">
      <w:pPr>
        <w:spacing w:before="120" w:after="120"/>
        <w:jc w:val="both"/>
        <w:rPr>
          <w:b/>
          <w:sz w:val="22"/>
          <w:szCs w:val="22"/>
        </w:rPr>
      </w:pPr>
      <w:r>
        <w:rPr>
          <w:b/>
          <w:sz w:val="22"/>
          <w:szCs w:val="22"/>
        </w:rPr>
        <w:t xml:space="preserve">Proposal 3: The MO configuration has only one SSB configuration </w:t>
      </w:r>
      <w:r w:rsidRPr="00F32B0E">
        <w:rPr>
          <w:b/>
          <w:sz w:val="22"/>
          <w:szCs w:val="22"/>
        </w:rPr>
        <w:t xml:space="preserve">for the carriers where SSB is present. </w:t>
      </w:r>
    </w:p>
    <w:p w:rsidR="002E1E91" w:rsidRPr="00436E56" w:rsidRDefault="00D11224" w:rsidP="002E1E91">
      <w:pPr>
        <w:spacing w:before="120" w:after="120"/>
        <w:jc w:val="both"/>
        <w:rPr>
          <w:b/>
          <w:sz w:val="22"/>
          <w:szCs w:val="22"/>
        </w:rPr>
      </w:pPr>
      <w:r>
        <w:rPr>
          <w:b/>
          <w:sz w:val="22"/>
          <w:szCs w:val="22"/>
        </w:rPr>
        <w:t xml:space="preserve">Proposal </w:t>
      </w:r>
      <w:r w:rsidR="002E1E91">
        <w:rPr>
          <w:b/>
          <w:sz w:val="22"/>
          <w:szCs w:val="22"/>
        </w:rPr>
        <w:t>4</w:t>
      </w:r>
      <w:r w:rsidR="002E1E91" w:rsidRPr="00720016">
        <w:rPr>
          <w:b/>
          <w:sz w:val="22"/>
          <w:szCs w:val="22"/>
        </w:rPr>
        <w:t xml:space="preserve">: BWP-specific RRM measurement </w:t>
      </w:r>
      <w:r w:rsidR="002E1E91">
        <w:rPr>
          <w:b/>
          <w:sz w:val="22"/>
          <w:szCs w:val="22"/>
        </w:rPr>
        <w:t>is</w:t>
      </w:r>
      <w:r w:rsidR="002E1E91" w:rsidRPr="00720016">
        <w:rPr>
          <w:b/>
          <w:sz w:val="22"/>
          <w:szCs w:val="22"/>
        </w:rPr>
        <w:t xml:space="preserve"> support</w:t>
      </w:r>
      <w:r w:rsidR="002E1E91">
        <w:rPr>
          <w:b/>
          <w:sz w:val="22"/>
          <w:szCs w:val="22"/>
        </w:rPr>
        <w:t xml:space="preserve">ed for BWP reconfiguration and BWP activation/deactivation. </w:t>
      </w:r>
    </w:p>
    <w:p w:rsidR="002E1E91" w:rsidRPr="00D11224" w:rsidRDefault="002E1E91" w:rsidP="002E1E91">
      <w:pPr>
        <w:spacing w:before="120" w:after="120"/>
        <w:jc w:val="both"/>
        <w:rPr>
          <w:b/>
          <w:sz w:val="22"/>
          <w:szCs w:val="22"/>
        </w:rPr>
      </w:pPr>
      <w:r w:rsidRPr="00B9739E">
        <w:rPr>
          <w:b/>
          <w:sz w:val="22"/>
          <w:szCs w:val="22"/>
        </w:rPr>
        <w:t xml:space="preserve">Proposal </w:t>
      </w:r>
      <w:r>
        <w:rPr>
          <w:b/>
          <w:sz w:val="22"/>
          <w:szCs w:val="22"/>
        </w:rPr>
        <w:t>5</w:t>
      </w:r>
      <w:r w:rsidRPr="00B9739E">
        <w:rPr>
          <w:b/>
          <w:sz w:val="22"/>
          <w:szCs w:val="22"/>
        </w:rPr>
        <w:t xml:space="preserve">: </w:t>
      </w:r>
      <w:r w:rsidRPr="00D11224">
        <w:rPr>
          <w:b/>
          <w:sz w:val="22"/>
          <w:szCs w:val="22"/>
        </w:rPr>
        <w:t xml:space="preserve">Different BWPs are considered as different parts of a measurement object is preferred. </w:t>
      </w:r>
    </w:p>
    <w:p w:rsidR="002E1E91" w:rsidRPr="00720016" w:rsidRDefault="002E1E91" w:rsidP="002E1E91">
      <w:pPr>
        <w:spacing w:before="120" w:after="120"/>
        <w:jc w:val="both"/>
        <w:rPr>
          <w:b/>
          <w:sz w:val="22"/>
          <w:szCs w:val="22"/>
        </w:rPr>
      </w:pPr>
      <w:r w:rsidRPr="00720016">
        <w:rPr>
          <w:b/>
          <w:sz w:val="22"/>
          <w:szCs w:val="22"/>
        </w:rPr>
        <w:t xml:space="preserve">Proposal </w:t>
      </w:r>
      <w:r>
        <w:rPr>
          <w:b/>
          <w:sz w:val="22"/>
          <w:szCs w:val="22"/>
        </w:rPr>
        <w:t>6</w:t>
      </w:r>
      <w:r w:rsidRPr="00720016">
        <w:rPr>
          <w:b/>
          <w:sz w:val="22"/>
          <w:szCs w:val="22"/>
        </w:rPr>
        <w:t xml:space="preserve">: BWP-specific measurement result is provided in the measurement report. </w:t>
      </w:r>
    </w:p>
    <w:p w:rsidR="002E1E91" w:rsidRPr="00D11224" w:rsidRDefault="002E1E91" w:rsidP="002E1E91">
      <w:pPr>
        <w:spacing w:before="120" w:after="120"/>
        <w:jc w:val="both"/>
        <w:rPr>
          <w:b/>
          <w:sz w:val="22"/>
          <w:szCs w:val="22"/>
        </w:rPr>
        <w:sectPr w:rsidR="002E1E91" w:rsidRPr="00D11224" w:rsidSect="00B9739E">
          <w:type w:val="continuous"/>
          <w:pgSz w:w="12240" w:h="15840"/>
          <w:pgMar w:top="1440" w:right="1440" w:bottom="1440" w:left="1440" w:header="720" w:footer="720" w:gutter="0"/>
          <w:cols w:space="720"/>
          <w:docGrid w:linePitch="360"/>
        </w:sectPr>
      </w:pPr>
    </w:p>
    <w:p w:rsidR="002E1E91" w:rsidRDefault="002E1E91" w:rsidP="002E1E91">
      <w:pPr>
        <w:spacing w:before="120" w:after="120"/>
        <w:jc w:val="both"/>
        <w:rPr>
          <w:b/>
          <w:sz w:val="22"/>
          <w:szCs w:val="22"/>
        </w:rPr>
      </w:pPr>
      <w:r w:rsidRPr="002E451E">
        <w:rPr>
          <w:b/>
          <w:sz w:val="22"/>
          <w:szCs w:val="22"/>
        </w:rPr>
        <w:lastRenderedPageBreak/>
        <w:t xml:space="preserve">Proposal </w:t>
      </w:r>
      <w:r>
        <w:rPr>
          <w:b/>
          <w:sz w:val="22"/>
          <w:szCs w:val="22"/>
        </w:rPr>
        <w:t>7</w:t>
      </w:r>
      <w:r w:rsidRPr="002E451E">
        <w:rPr>
          <w:b/>
          <w:sz w:val="22"/>
          <w:szCs w:val="22"/>
        </w:rPr>
        <w:t xml:space="preserve">: A1~A5 are generalized to trigger </w:t>
      </w:r>
      <w:r>
        <w:rPr>
          <w:b/>
          <w:sz w:val="22"/>
          <w:szCs w:val="22"/>
        </w:rPr>
        <w:t>BWP-specific measurement report</w:t>
      </w:r>
      <w:r w:rsidRPr="002E451E">
        <w:rPr>
          <w:b/>
          <w:sz w:val="22"/>
          <w:szCs w:val="22"/>
        </w:rPr>
        <w:t>.</w:t>
      </w:r>
    </w:p>
    <w:p w:rsidR="006747EE" w:rsidRDefault="006747EE" w:rsidP="006747EE">
      <w:pPr>
        <w:pStyle w:val="Heading1"/>
        <w:ind w:left="0" w:firstLine="0"/>
        <w:rPr>
          <w:b/>
        </w:rPr>
      </w:pPr>
      <w:r>
        <w:rPr>
          <w:lang w:val="en-US" w:eastAsia="ko-KR"/>
        </w:rPr>
        <w:t>4 Reference</w:t>
      </w:r>
    </w:p>
    <w:p w:rsidR="0027173B" w:rsidRDefault="006747EE" w:rsidP="0004544A">
      <w:pPr>
        <w:rPr>
          <w:sz w:val="22"/>
          <w:szCs w:val="22"/>
          <w:lang w:eastAsia="zh-CN"/>
        </w:rPr>
      </w:pPr>
      <w:r w:rsidRPr="00720016">
        <w:rPr>
          <w:sz w:val="22"/>
          <w:szCs w:val="22"/>
          <w:lang w:eastAsia="zh-CN"/>
        </w:rPr>
        <w:t xml:space="preserve">[1] </w:t>
      </w:r>
      <w:r w:rsidR="0027173B" w:rsidRPr="00436E56">
        <w:rPr>
          <w:sz w:val="22"/>
          <w:szCs w:val="22"/>
          <w:lang w:eastAsia="zh-CN"/>
        </w:rPr>
        <w:t>R1-17</w:t>
      </w:r>
      <w:r w:rsidR="00F32B0E">
        <w:rPr>
          <w:sz w:val="22"/>
          <w:szCs w:val="22"/>
          <w:lang w:eastAsia="zh-CN"/>
        </w:rPr>
        <w:t>11998</w:t>
      </w:r>
      <w:r w:rsidR="0028153F">
        <w:rPr>
          <w:sz w:val="22"/>
          <w:szCs w:val="22"/>
          <w:lang w:eastAsia="zh-CN"/>
        </w:rPr>
        <w:t>,</w:t>
      </w:r>
      <w:r w:rsidR="00877994" w:rsidRPr="00720016">
        <w:rPr>
          <w:sz w:val="22"/>
          <w:szCs w:val="22"/>
          <w:lang w:eastAsia="zh-CN"/>
        </w:rPr>
        <w:t xml:space="preserve"> </w:t>
      </w:r>
      <w:r w:rsidR="0027173B" w:rsidRPr="00436E56">
        <w:rPr>
          <w:sz w:val="22"/>
          <w:szCs w:val="22"/>
          <w:lang w:eastAsia="zh-CN"/>
        </w:rPr>
        <w:t xml:space="preserve">LS on </w:t>
      </w:r>
      <w:r w:rsidR="00F32B0E">
        <w:rPr>
          <w:sz w:val="22"/>
          <w:szCs w:val="22"/>
          <w:lang w:eastAsia="zh-CN"/>
        </w:rPr>
        <w:t>Bandwidth Part Operation in NR</w:t>
      </w:r>
      <w:r w:rsidR="0027173B" w:rsidRPr="00720016">
        <w:rPr>
          <w:sz w:val="22"/>
          <w:szCs w:val="22"/>
          <w:lang w:eastAsia="zh-CN"/>
        </w:rPr>
        <w:t xml:space="preserve"> </w:t>
      </w:r>
    </w:p>
    <w:p w:rsidR="00DA1CFE" w:rsidRDefault="00877994" w:rsidP="0004544A">
      <w:pPr>
        <w:rPr>
          <w:sz w:val="22"/>
          <w:szCs w:val="22"/>
          <w:lang w:eastAsia="zh-CN"/>
        </w:rPr>
      </w:pPr>
      <w:r w:rsidRPr="00720016">
        <w:rPr>
          <w:sz w:val="22"/>
          <w:szCs w:val="22"/>
          <w:lang w:eastAsia="zh-CN"/>
        </w:rPr>
        <w:t xml:space="preserve">[2] </w:t>
      </w:r>
      <w:r w:rsidR="0028153F" w:rsidRPr="0028153F">
        <w:rPr>
          <w:sz w:val="22"/>
          <w:szCs w:val="22"/>
          <w:lang w:eastAsia="zh-CN"/>
        </w:rPr>
        <w:t>R2-1710864</w:t>
      </w:r>
      <w:r w:rsidR="0028153F">
        <w:rPr>
          <w:sz w:val="22"/>
          <w:szCs w:val="22"/>
          <w:lang w:eastAsia="zh-CN"/>
        </w:rPr>
        <w:t>,</w:t>
      </w:r>
      <w:r w:rsidR="0028153F" w:rsidRPr="0028153F">
        <w:rPr>
          <w:sz w:val="22"/>
          <w:szCs w:val="22"/>
          <w:lang w:eastAsia="zh-CN"/>
        </w:rPr>
        <w:t xml:space="preserve"> Basic Framework for Bandwidth Part Operation</w:t>
      </w:r>
      <w:r w:rsidR="001E50BB">
        <w:rPr>
          <w:sz w:val="22"/>
          <w:szCs w:val="22"/>
          <w:lang w:eastAsia="zh-CN"/>
        </w:rPr>
        <w:t>,</w:t>
      </w:r>
      <w:r w:rsidR="0028153F">
        <w:rPr>
          <w:sz w:val="22"/>
          <w:szCs w:val="22"/>
          <w:lang w:eastAsia="zh-CN"/>
        </w:rPr>
        <w:t xml:space="preserve"> Mediatek</w:t>
      </w:r>
      <w:r w:rsidR="001E50BB">
        <w:rPr>
          <w:sz w:val="22"/>
          <w:szCs w:val="22"/>
          <w:lang w:eastAsia="zh-CN"/>
        </w:rPr>
        <w:t xml:space="preserve"> Inc.</w:t>
      </w:r>
    </w:p>
    <w:p w:rsidR="006747EE" w:rsidRDefault="00DA1CFE" w:rsidP="0004544A">
      <w:pPr>
        <w:rPr>
          <w:sz w:val="22"/>
          <w:szCs w:val="22"/>
          <w:lang w:eastAsia="zh-CN"/>
        </w:rPr>
      </w:pPr>
      <w:r>
        <w:rPr>
          <w:sz w:val="22"/>
          <w:szCs w:val="22"/>
          <w:lang w:eastAsia="zh-CN"/>
        </w:rPr>
        <w:t xml:space="preserve">[3] </w:t>
      </w:r>
      <w:hyperlink r:id="rId13" w:tooltip="C:Data3GPPExtractsR2-1709861_R1-1715071.doc" w:history="1">
        <w:r w:rsidRPr="00DA1CFE">
          <w:rPr>
            <w:sz w:val="22"/>
            <w:szCs w:val="22"/>
            <w:lang w:eastAsia="zh-CN"/>
          </w:rPr>
          <w:t>R2-1709861</w:t>
        </w:r>
      </w:hyperlink>
      <w:r w:rsidR="0028153F">
        <w:rPr>
          <w:sz w:val="22"/>
          <w:szCs w:val="22"/>
          <w:lang w:eastAsia="zh-CN"/>
        </w:rPr>
        <w:t>, LS</w:t>
      </w:r>
      <w:r w:rsidRPr="00DA1CFE">
        <w:rPr>
          <w:sz w:val="22"/>
          <w:szCs w:val="22"/>
          <w:lang w:eastAsia="zh-CN"/>
        </w:rPr>
        <w:t xml:space="preserve"> on multiple SSBs within a wideband carrier</w:t>
      </w:r>
    </w:p>
    <w:p w:rsidR="00F32B0E" w:rsidRPr="002E1E91" w:rsidRDefault="00F32B0E" w:rsidP="00F32B0E">
      <w:pPr>
        <w:rPr>
          <w:sz w:val="22"/>
          <w:szCs w:val="22"/>
          <w:lang w:eastAsia="zh-CN"/>
        </w:rPr>
      </w:pPr>
      <w:r>
        <w:rPr>
          <w:sz w:val="22"/>
          <w:szCs w:val="22"/>
          <w:lang w:eastAsia="zh-CN"/>
        </w:rPr>
        <w:t xml:space="preserve">[4] </w:t>
      </w:r>
      <w:r w:rsidRPr="002E1E91">
        <w:rPr>
          <w:sz w:val="22"/>
          <w:szCs w:val="22"/>
          <w:lang w:eastAsia="zh-CN"/>
        </w:rPr>
        <w:t>R4-1709890, LS on scenarios of multiple SSB</w:t>
      </w:r>
    </w:p>
    <w:p w:rsidR="00C9692A" w:rsidRPr="002E1E91" w:rsidRDefault="00C9692A" w:rsidP="00F32B0E">
      <w:pPr>
        <w:rPr>
          <w:sz w:val="22"/>
          <w:szCs w:val="22"/>
          <w:lang w:eastAsia="zh-CN"/>
        </w:rPr>
      </w:pPr>
      <w:r w:rsidRPr="002E1E91">
        <w:rPr>
          <w:sz w:val="22"/>
          <w:szCs w:val="22"/>
          <w:lang w:eastAsia="zh-CN"/>
        </w:rPr>
        <w:t>[</w:t>
      </w:r>
      <w:r w:rsidR="002E1E91">
        <w:rPr>
          <w:sz w:val="22"/>
          <w:szCs w:val="22"/>
          <w:lang w:eastAsia="zh-CN"/>
        </w:rPr>
        <w:t>5</w:t>
      </w:r>
      <w:r w:rsidRPr="002E1E91">
        <w:rPr>
          <w:sz w:val="22"/>
          <w:szCs w:val="22"/>
          <w:lang w:eastAsia="zh-CN"/>
        </w:rPr>
        <w:t>]</w:t>
      </w:r>
      <w:r w:rsidR="002E1E91">
        <w:rPr>
          <w:sz w:val="22"/>
          <w:szCs w:val="22"/>
          <w:lang w:eastAsia="zh-CN"/>
        </w:rPr>
        <w:t xml:space="preserve"> </w:t>
      </w:r>
      <w:r w:rsidRPr="002E1E91">
        <w:rPr>
          <w:sz w:val="22"/>
          <w:szCs w:val="22"/>
          <w:lang w:eastAsia="zh-CN"/>
        </w:rPr>
        <w:t>R4-1702029</w:t>
      </w:r>
      <w:r w:rsidR="0028153F">
        <w:rPr>
          <w:sz w:val="22"/>
          <w:szCs w:val="22"/>
          <w:lang w:eastAsia="zh-CN"/>
        </w:rPr>
        <w:t>,</w:t>
      </w:r>
      <w:r w:rsidR="0028153F" w:rsidRPr="0028153F">
        <w:rPr>
          <w:sz w:val="22"/>
          <w:szCs w:val="22"/>
          <w:lang w:eastAsia="zh-CN"/>
        </w:rPr>
        <w:t xml:space="preserve"> Reply LS on UE RF Bandwidth Adaptation in NR</w:t>
      </w:r>
    </w:p>
    <w:p w:rsidR="00F32B0E" w:rsidRPr="00F32B0E" w:rsidRDefault="00F32B0E" w:rsidP="0004544A">
      <w:pPr>
        <w:rPr>
          <w:sz w:val="22"/>
          <w:szCs w:val="22"/>
          <w:lang w:val="en-US" w:eastAsia="zh-CN"/>
        </w:rPr>
      </w:pPr>
    </w:p>
    <w:sectPr w:rsidR="00F32B0E" w:rsidRPr="00F32B0E" w:rsidSect="00EE4034">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04CF" w:rsidRDefault="003904CF" w:rsidP="009C580B">
      <w:pPr>
        <w:spacing w:after="0"/>
      </w:pPr>
      <w:r>
        <w:separator/>
      </w:r>
    </w:p>
  </w:endnote>
  <w:endnote w:type="continuationSeparator" w:id="0">
    <w:p w:rsidR="003904CF" w:rsidRDefault="003904CF" w:rsidP="009C58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04CF" w:rsidRDefault="003904CF" w:rsidP="009C580B">
      <w:pPr>
        <w:spacing w:after="0"/>
      </w:pPr>
      <w:r>
        <w:separator/>
      </w:r>
    </w:p>
  </w:footnote>
  <w:footnote w:type="continuationSeparator" w:id="0">
    <w:p w:rsidR="003904CF" w:rsidRDefault="003904CF" w:rsidP="009C580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0073D"/>
    <w:multiLevelType w:val="hybridMultilevel"/>
    <w:tmpl w:val="CFBA95E8"/>
    <w:lvl w:ilvl="0" w:tplc="4D562A80">
      <w:start w:val="1"/>
      <w:numFmt w:val="bullet"/>
      <w:lvlText w:val="•"/>
      <w:lvlJc w:val="left"/>
      <w:pPr>
        <w:tabs>
          <w:tab w:val="num" w:pos="360"/>
        </w:tabs>
        <w:ind w:left="360" w:hanging="360"/>
      </w:pPr>
      <w:rPr>
        <w:rFonts w:ascii="Arial" w:hAnsi="Arial" w:hint="default"/>
      </w:rPr>
    </w:lvl>
    <w:lvl w:ilvl="1" w:tplc="F78EB670">
      <w:start w:val="2960"/>
      <w:numFmt w:val="bullet"/>
      <w:lvlText w:val="–"/>
      <w:lvlJc w:val="left"/>
      <w:pPr>
        <w:tabs>
          <w:tab w:val="num" w:pos="1080"/>
        </w:tabs>
        <w:ind w:left="1080" w:hanging="360"/>
      </w:pPr>
      <w:rPr>
        <w:rFonts w:ascii="Arial" w:hAnsi="Arial" w:hint="default"/>
      </w:rPr>
    </w:lvl>
    <w:lvl w:ilvl="2" w:tplc="57E6983E" w:tentative="1">
      <w:start w:val="1"/>
      <w:numFmt w:val="bullet"/>
      <w:lvlText w:val="•"/>
      <w:lvlJc w:val="left"/>
      <w:pPr>
        <w:tabs>
          <w:tab w:val="num" w:pos="1800"/>
        </w:tabs>
        <w:ind w:left="1800" w:hanging="360"/>
      </w:pPr>
      <w:rPr>
        <w:rFonts w:ascii="Arial" w:hAnsi="Arial" w:hint="default"/>
      </w:rPr>
    </w:lvl>
    <w:lvl w:ilvl="3" w:tplc="273ED4AC" w:tentative="1">
      <w:start w:val="1"/>
      <w:numFmt w:val="bullet"/>
      <w:lvlText w:val="•"/>
      <w:lvlJc w:val="left"/>
      <w:pPr>
        <w:tabs>
          <w:tab w:val="num" w:pos="2520"/>
        </w:tabs>
        <w:ind w:left="2520" w:hanging="360"/>
      </w:pPr>
      <w:rPr>
        <w:rFonts w:ascii="Arial" w:hAnsi="Arial" w:hint="default"/>
      </w:rPr>
    </w:lvl>
    <w:lvl w:ilvl="4" w:tplc="792894BC" w:tentative="1">
      <w:start w:val="1"/>
      <w:numFmt w:val="bullet"/>
      <w:lvlText w:val="•"/>
      <w:lvlJc w:val="left"/>
      <w:pPr>
        <w:tabs>
          <w:tab w:val="num" w:pos="3240"/>
        </w:tabs>
        <w:ind w:left="3240" w:hanging="360"/>
      </w:pPr>
      <w:rPr>
        <w:rFonts w:ascii="Arial" w:hAnsi="Arial" w:hint="default"/>
      </w:rPr>
    </w:lvl>
    <w:lvl w:ilvl="5" w:tplc="6CCE9C70" w:tentative="1">
      <w:start w:val="1"/>
      <w:numFmt w:val="bullet"/>
      <w:lvlText w:val="•"/>
      <w:lvlJc w:val="left"/>
      <w:pPr>
        <w:tabs>
          <w:tab w:val="num" w:pos="3960"/>
        </w:tabs>
        <w:ind w:left="3960" w:hanging="360"/>
      </w:pPr>
      <w:rPr>
        <w:rFonts w:ascii="Arial" w:hAnsi="Arial" w:hint="default"/>
      </w:rPr>
    </w:lvl>
    <w:lvl w:ilvl="6" w:tplc="F7169D32" w:tentative="1">
      <w:start w:val="1"/>
      <w:numFmt w:val="bullet"/>
      <w:lvlText w:val="•"/>
      <w:lvlJc w:val="left"/>
      <w:pPr>
        <w:tabs>
          <w:tab w:val="num" w:pos="4680"/>
        </w:tabs>
        <w:ind w:left="4680" w:hanging="360"/>
      </w:pPr>
      <w:rPr>
        <w:rFonts w:ascii="Arial" w:hAnsi="Arial" w:hint="default"/>
      </w:rPr>
    </w:lvl>
    <w:lvl w:ilvl="7" w:tplc="00D4349E" w:tentative="1">
      <w:start w:val="1"/>
      <w:numFmt w:val="bullet"/>
      <w:lvlText w:val="•"/>
      <w:lvlJc w:val="left"/>
      <w:pPr>
        <w:tabs>
          <w:tab w:val="num" w:pos="5400"/>
        </w:tabs>
        <w:ind w:left="5400" w:hanging="360"/>
      </w:pPr>
      <w:rPr>
        <w:rFonts w:ascii="Arial" w:hAnsi="Arial" w:hint="default"/>
      </w:rPr>
    </w:lvl>
    <w:lvl w:ilvl="8" w:tplc="20A22904"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189239A"/>
    <w:multiLevelType w:val="hybridMultilevel"/>
    <w:tmpl w:val="8B420744"/>
    <w:lvl w:ilvl="0" w:tplc="6C741726">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7B422B3"/>
    <w:multiLevelType w:val="multilevel"/>
    <w:tmpl w:val="F8D24682"/>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D5C3E85"/>
    <w:multiLevelType w:val="multilevel"/>
    <w:tmpl w:val="594AE51E"/>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EA4827"/>
    <w:multiLevelType w:val="hybridMultilevel"/>
    <w:tmpl w:val="77AA5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9F67C9"/>
    <w:multiLevelType w:val="hybridMultilevel"/>
    <w:tmpl w:val="888831B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689023A"/>
    <w:multiLevelType w:val="hybridMultilevel"/>
    <w:tmpl w:val="9F340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E8189D"/>
    <w:multiLevelType w:val="hybridMultilevel"/>
    <w:tmpl w:val="745C4DDA"/>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353D1837"/>
    <w:multiLevelType w:val="hybridMultilevel"/>
    <w:tmpl w:val="2CF05DAC"/>
    <w:lvl w:ilvl="0" w:tplc="71A064F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740B6F"/>
    <w:multiLevelType w:val="hybridMultilevel"/>
    <w:tmpl w:val="CADA9A98"/>
    <w:lvl w:ilvl="0" w:tplc="35743094">
      <w:start w:val="1"/>
      <w:numFmt w:val="bullet"/>
      <w:lvlText w:val="•"/>
      <w:lvlJc w:val="left"/>
      <w:pPr>
        <w:tabs>
          <w:tab w:val="num" w:pos="720"/>
        </w:tabs>
        <w:ind w:left="720" w:hanging="360"/>
      </w:pPr>
      <w:rPr>
        <w:rFonts w:ascii="Arial" w:hAnsi="Arial" w:hint="default"/>
      </w:rPr>
    </w:lvl>
    <w:lvl w:ilvl="1" w:tplc="18025218">
      <w:start w:val="1"/>
      <w:numFmt w:val="bullet"/>
      <w:lvlText w:val="•"/>
      <w:lvlJc w:val="left"/>
      <w:pPr>
        <w:tabs>
          <w:tab w:val="num" w:pos="1440"/>
        </w:tabs>
        <w:ind w:left="1440" w:hanging="360"/>
      </w:pPr>
      <w:rPr>
        <w:rFonts w:ascii="Arial" w:hAnsi="Arial" w:hint="default"/>
      </w:rPr>
    </w:lvl>
    <w:lvl w:ilvl="2" w:tplc="F5821CDC">
      <w:start w:val="1"/>
      <w:numFmt w:val="bullet"/>
      <w:lvlText w:val="•"/>
      <w:lvlJc w:val="left"/>
      <w:pPr>
        <w:tabs>
          <w:tab w:val="num" w:pos="2160"/>
        </w:tabs>
        <w:ind w:left="2160" w:hanging="360"/>
      </w:pPr>
      <w:rPr>
        <w:rFonts w:ascii="Arial" w:hAnsi="Arial" w:hint="default"/>
      </w:rPr>
    </w:lvl>
    <w:lvl w:ilvl="3" w:tplc="A7585082" w:tentative="1">
      <w:start w:val="1"/>
      <w:numFmt w:val="bullet"/>
      <w:lvlText w:val="•"/>
      <w:lvlJc w:val="left"/>
      <w:pPr>
        <w:tabs>
          <w:tab w:val="num" w:pos="2880"/>
        </w:tabs>
        <w:ind w:left="2880" w:hanging="360"/>
      </w:pPr>
      <w:rPr>
        <w:rFonts w:ascii="Arial" w:hAnsi="Arial" w:hint="default"/>
      </w:rPr>
    </w:lvl>
    <w:lvl w:ilvl="4" w:tplc="E8746876" w:tentative="1">
      <w:start w:val="1"/>
      <w:numFmt w:val="bullet"/>
      <w:lvlText w:val="•"/>
      <w:lvlJc w:val="left"/>
      <w:pPr>
        <w:tabs>
          <w:tab w:val="num" w:pos="3600"/>
        </w:tabs>
        <w:ind w:left="3600" w:hanging="360"/>
      </w:pPr>
      <w:rPr>
        <w:rFonts w:ascii="Arial" w:hAnsi="Arial" w:hint="default"/>
      </w:rPr>
    </w:lvl>
    <w:lvl w:ilvl="5" w:tplc="FAC03056" w:tentative="1">
      <w:start w:val="1"/>
      <w:numFmt w:val="bullet"/>
      <w:lvlText w:val="•"/>
      <w:lvlJc w:val="left"/>
      <w:pPr>
        <w:tabs>
          <w:tab w:val="num" w:pos="4320"/>
        </w:tabs>
        <w:ind w:left="4320" w:hanging="360"/>
      </w:pPr>
      <w:rPr>
        <w:rFonts w:ascii="Arial" w:hAnsi="Arial" w:hint="default"/>
      </w:rPr>
    </w:lvl>
    <w:lvl w:ilvl="6" w:tplc="A71C46D0" w:tentative="1">
      <w:start w:val="1"/>
      <w:numFmt w:val="bullet"/>
      <w:lvlText w:val="•"/>
      <w:lvlJc w:val="left"/>
      <w:pPr>
        <w:tabs>
          <w:tab w:val="num" w:pos="5040"/>
        </w:tabs>
        <w:ind w:left="5040" w:hanging="360"/>
      </w:pPr>
      <w:rPr>
        <w:rFonts w:ascii="Arial" w:hAnsi="Arial" w:hint="default"/>
      </w:rPr>
    </w:lvl>
    <w:lvl w:ilvl="7" w:tplc="1592F386" w:tentative="1">
      <w:start w:val="1"/>
      <w:numFmt w:val="bullet"/>
      <w:lvlText w:val="•"/>
      <w:lvlJc w:val="left"/>
      <w:pPr>
        <w:tabs>
          <w:tab w:val="num" w:pos="5760"/>
        </w:tabs>
        <w:ind w:left="5760" w:hanging="360"/>
      </w:pPr>
      <w:rPr>
        <w:rFonts w:ascii="Arial" w:hAnsi="Arial" w:hint="default"/>
      </w:rPr>
    </w:lvl>
    <w:lvl w:ilvl="8" w:tplc="F71A69B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8334698"/>
    <w:multiLevelType w:val="multilevel"/>
    <w:tmpl w:val="F8D24682"/>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8E91193"/>
    <w:multiLevelType w:val="hybridMultilevel"/>
    <w:tmpl w:val="7FBCC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EF87EE0"/>
    <w:multiLevelType w:val="hybridMultilevel"/>
    <w:tmpl w:val="47D88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DB5277"/>
    <w:multiLevelType w:val="hybridMultilevel"/>
    <w:tmpl w:val="E8E05C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6440BB"/>
    <w:multiLevelType w:val="hybridMultilevel"/>
    <w:tmpl w:val="F74E1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B6450D"/>
    <w:multiLevelType w:val="hybridMultilevel"/>
    <w:tmpl w:val="8B92D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3C06C6"/>
    <w:multiLevelType w:val="hybridMultilevel"/>
    <w:tmpl w:val="28BC2CE8"/>
    <w:lvl w:ilvl="0" w:tplc="3912E7A0">
      <w:start w:val="1"/>
      <w:numFmt w:val="bullet"/>
      <w:lvlText w:val="•"/>
      <w:lvlJc w:val="left"/>
      <w:pPr>
        <w:tabs>
          <w:tab w:val="num" w:pos="720"/>
        </w:tabs>
        <w:ind w:left="720" w:hanging="360"/>
      </w:pPr>
      <w:rPr>
        <w:rFonts w:ascii="Arial" w:hAnsi="Arial" w:hint="default"/>
      </w:rPr>
    </w:lvl>
    <w:lvl w:ilvl="1" w:tplc="9FBEE1D4" w:tentative="1">
      <w:start w:val="1"/>
      <w:numFmt w:val="bullet"/>
      <w:lvlText w:val="•"/>
      <w:lvlJc w:val="left"/>
      <w:pPr>
        <w:tabs>
          <w:tab w:val="num" w:pos="1440"/>
        </w:tabs>
        <w:ind w:left="1440" w:hanging="360"/>
      </w:pPr>
      <w:rPr>
        <w:rFonts w:ascii="Arial" w:hAnsi="Arial" w:hint="default"/>
      </w:rPr>
    </w:lvl>
    <w:lvl w:ilvl="2" w:tplc="22FC7476" w:tentative="1">
      <w:start w:val="1"/>
      <w:numFmt w:val="bullet"/>
      <w:lvlText w:val="•"/>
      <w:lvlJc w:val="left"/>
      <w:pPr>
        <w:tabs>
          <w:tab w:val="num" w:pos="2160"/>
        </w:tabs>
        <w:ind w:left="2160" w:hanging="360"/>
      </w:pPr>
      <w:rPr>
        <w:rFonts w:ascii="Arial" w:hAnsi="Arial" w:hint="default"/>
      </w:rPr>
    </w:lvl>
    <w:lvl w:ilvl="3" w:tplc="5E263584" w:tentative="1">
      <w:start w:val="1"/>
      <w:numFmt w:val="bullet"/>
      <w:lvlText w:val="•"/>
      <w:lvlJc w:val="left"/>
      <w:pPr>
        <w:tabs>
          <w:tab w:val="num" w:pos="2880"/>
        </w:tabs>
        <w:ind w:left="2880" w:hanging="360"/>
      </w:pPr>
      <w:rPr>
        <w:rFonts w:ascii="Arial" w:hAnsi="Arial" w:hint="default"/>
      </w:rPr>
    </w:lvl>
    <w:lvl w:ilvl="4" w:tplc="7DF23B60" w:tentative="1">
      <w:start w:val="1"/>
      <w:numFmt w:val="bullet"/>
      <w:lvlText w:val="•"/>
      <w:lvlJc w:val="left"/>
      <w:pPr>
        <w:tabs>
          <w:tab w:val="num" w:pos="3600"/>
        </w:tabs>
        <w:ind w:left="3600" w:hanging="360"/>
      </w:pPr>
      <w:rPr>
        <w:rFonts w:ascii="Arial" w:hAnsi="Arial" w:hint="default"/>
      </w:rPr>
    </w:lvl>
    <w:lvl w:ilvl="5" w:tplc="4094E3BA" w:tentative="1">
      <w:start w:val="1"/>
      <w:numFmt w:val="bullet"/>
      <w:lvlText w:val="•"/>
      <w:lvlJc w:val="left"/>
      <w:pPr>
        <w:tabs>
          <w:tab w:val="num" w:pos="4320"/>
        </w:tabs>
        <w:ind w:left="4320" w:hanging="360"/>
      </w:pPr>
      <w:rPr>
        <w:rFonts w:ascii="Arial" w:hAnsi="Arial" w:hint="default"/>
      </w:rPr>
    </w:lvl>
    <w:lvl w:ilvl="6" w:tplc="FD122216" w:tentative="1">
      <w:start w:val="1"/>
      <w:numFmt w:val="bullet"/>
      <w:lvlText w:val="•"/>
      <w:lvlJc w:val="left"/>
      <w:pPr>
        <w:tabs>
          <w:tab w:val="num" w:pos="5040"/>
        </w:tabs>
        <w:ind w:left="5040" w:hanging="360"/>
      </w:pPr>
      <w:rPr>
        <w:rFonts w:ascii="Arial" w:hAnsi="Arial" w:hint="default"/>
      </w:rPr>
    </w:lvl>
    <w:lvl w:ilvl="7" w:tplc="1834EDB4" w:tentative="1">
      <w:start w:val="1"/>
      <w:numFmt w:val="bullet"/>
      <w:lvlText w:val="•"/>
      <w:lvlJc w:val="left"/>
      <w:pPr>
        <w:tabs>
          <w:tab w:val="num" w:pos="5760"/>
        </w:tabs>
        <w:ind w:left="5760" w:hanging="360"/>
      </w:pPr>
      <w:rPr>
        <w:rFonts w:ascii="Arial" w:hAnsi="Arial" w:hint="default"/>
      </w:rPr>
    </w:lvl>
    <w:lvl w:ilvl="8" w:tplc="9E56F3A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7EC128B"/>
    <w:multiLevelType w:val="multilevel"/>
    <w:tmpl w:val="3E78CB20"/>
    <w:lvl w:ilvl="0">
      <w:start w:val="1"/>
      <w:numFmt w:val="bullet"/>
      <w:lvlText w:val=""/>
      <w:lvlJc w:val="left"/>
      <w:pPr>
        <w:ind w:left="360" w:hanging="360"/>
      </w:pPr>
      <w:rPr>
        <w:rFonts w:ascii="Symbol" w:hAnsi="Symbol"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6A1B50C1"/>
    <w:multiLevelType w:val="hybridMultilevel"/>
    <w:tmpl w:val="8F24CE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2A4A3F"/>
    <w:multiLevelType w:val="hybridMultilevel"/>
    <w:tmpl w:val="352C23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3A43113"/>
    <w:multiLevelType w:val="hybridMultilevel"/>
    <w:tmpl w:val="9F761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7D31C02"/>
    <w:multiLevelType w:val="hybridMultilevel"/>
    <w:tmpl w:val="3C7A919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97A1EF7"/>
    <w:multiLevelType w:val="hybridMultilevel"/>
    <w:tmpl w:val="601C89C0"/>
    <w:lvl w:ilvl="0" w:tplc="127688B0">
      <w:start w:val="1"/>
      <w:numFmt w:val="bullet"/>
      <w:lvlText w:val="•"/>
      <w:lvlJc w:val="left"/>
      <w:pPr>
        <w:tabs>
          <w:tab w:val="num" w:pos="720"/>
        </w:tabs>
        <w:ind w:left="720" w:hanging="360"/>
      </w:pPr>
      <w:rPr>
        <w:rFonts w:ascii="Arial" w:hAnsi="Arial" w:hint="default"/>
      </w:rPr>
    </w:lvl>
    <w:lvl w:ilvl="1" w:tplc="2740252A">
      <w:start w:val="242"/>
      <w:numFmt w:val="bullet"/>
      <w:lvlText w:val="•"/>
      <w:lvlJc w:val="left"/>
      <w:pPr>
        <w:tabs>
          <w:tab w:val="num" w:pos="1440"/>
        </w:tabs>
        <w:ind w:left="1440" w:hanging="360"/>
      </w:pPr>
      <w:rPr>
        <w:rFonts w:ascii="Arial" w:hAnsi="Arial" w:hint="default"/>
      </w:rPr>
    </w:lvl>
    <w:lvl w:ilvl="2" w:tplc="3D7E9FE2">
      <w:start w:val="242"/>
      <w:numFmt w:val="bullet"/>
      <w:lvlText w:val="•"/>
      <w:lvlJc w:val="left"/>
      <w:pPr>
        <w:tabs>
          <w:tab w:val="num" w:pos="2160"/>
        </w:tabs>
        <w:ind w:left="2160" w:hanging="360"/>
      </w:pPr>
      <w:rPr>
        <w:rFonts w:ascii="Arial" w:hAnsi="Arial" w:hint="default"/>
      </w:rPr>
    </w:lvl>
    <w:lvl w:ilvl="3" w:tplc="3D206D28">
      <w:start w:val="242"/>
      <w:numFmt w:val="bullet"/>
      <w:lvlText w:val="•"/>
      <w:lvlJc w:val="left"/>
      <w:pPr>
        <w:tabs>
          <w:tab w:val="num" w:pos="2880"/>
        </w:tabs>
        <w:ind w:left="2880" w:hanging="360"/>
      </w:pPr>
      <w:rPr>
        <w:rFonts w:ascii="Arial" w:hAnsi="Arial" w:hint="default"/>
      </w:rPr>
    </w:lvl>
    <w:lvl w:ilvl="4" w:tplc="301AA90C">
      <w:start w:val="1"/>
      <w:numFmt w:val="bullet"/>
      <w:lvlText w:val="•"/>
      <w:lvlJc w:val="left"/>
      <w:pPr>
        <w:tabs>
          <w:tab w:val="num" w:pos="3600"/>
        </w:tabs>
        <w:ind w:left="3600" w:hanging="360"/>
      </w:pPr>
      <w:rPr>
        <w:rFonts w:ascii="Arial" w:hAnsi="Arial" w:hint="default"/>
      </w:rPr>
    </w:lvl>
    <w:lvl w:ilvl="5" w:tplc="A1523C68" w:tentative="1">
      <w:start w:val="1"/>
      <w:numFmt w:val="bullet"/>
      <w:lvlText w:val="•"/>
      <w:lvlJc w:val="left"/>
      <w:pPr>
        <w:tabs>
          <w:tab w:val="num" w:pos="4320"/>
        </w:tabs>
        <w:ind w:left="4320" w:hanging="360"/>
      </w:pPr>
      <w:rPr>
        <w:rFonts w:ascii="Arial" w:hAnsi="Arial" w:hint="default"/>
      </w:rPr>
    </w:lvl>
    <w:lvl w:ilvl="6" w:tplc="BB60DC2A" w:tentative="1">
      <w:start w:val="1"/>
      <w:numFmt w:val="bullet"/>
      <w:lvlText w:val="•"/>
      <w:lvlJc w:val="left"/>
      <w:pPr>
        <w:tabs>
          <w:tab w:val="num" w:pos="5040"/>
        </w:tabs>
        <w:ind w:left="5040" w:hanging="360"/>
      </w:pPr>
      <w:rPr>
        <w:rFonts w:ascii="Arial" w:hAnsi="Arial" w:hint="default"/>
      </w:rPr>
    </w:lvl>
    <w:lvl w:ilvl="7" w:tplc="CEF40D46" w:tentative="1">
      <w:start w:val="1"/>
      <w:numFmt w:val="bullet"/>
      <w:lvlText w:val="•"/>
      <w:lvlJc w:val="left"/>
      <w:pPr>
        <w:tabs>
          <w:tab w:val="num" w:pos="5760"/>
        </w:tabs>
        <w:ind w:left="5760" w:hanging="360"/>
      </w:pPr>
      <w:rPr>
        <w:rFonts w:ascii="Arial" w:hAnsi="Arial" w:hint="default"/>
      </w:rPr>
    </w:lvl>
    <w:lvl w:ilvl="8" w:tplc="8EEA0B5C" w:tentative="1">
      <w:start w:val="1"/>
      <w:numFmt w:val="bullet"/>
      <w:lvlText w:val="•"/>
      <w:lvlJc w:val="left"/>
      <w:pPr>
        <w:tabs>
          <w:tab w:val="num" w:pos="6480"/>
        </w:tabs>
        <w:ind w:left="6480" w:hanging="360"/>
      </w:pPr>
      <w:rPr>
        <w:rFonts w:ascii="Arial" w:hAnsi="Arial" w:hint="default"/>
      </w:rPr>
    </w:lvl>
  </w:abstractNum>
  <w:num w:numId="1">
    <w:abstractNumId w:val="20"/>
  </w:num>
  <w:num w:numId="2">
    <w:abstractNumId w:val="16"/>
  </w:num>
  <w:num w:numId="3">
    <w:abstractNumId w:val="15"/>
  </w:num>
  <w:num w:numId="4">
    <w:abstractNumId w:val="13"/>
  </w:num>
  <w:num w:numId="5">
    <w:abstractNumId w:val="8"/>
  </w:num>
  <w:num w:numId="6">
    <w:abstractNumId w:val="9"/>
  </w:num>
  <w:num w:numId="7">
    <w:abstractNumId w:val="24"/>
  </w:num>
  <w:num w:numId="8">
    <w:abstractNumId w:val="4"/>
  </w:num>
  <w:num w:numId="9">
    <w:abstractNumId w:val="14"/>
  </w:num>
  <w:num w:numId="10">
    <w:abstractNumId w:val="17"/>
  </w:num>
  <w:num w:numId="11">
    <w:abstractNumId w:val="23"/>
  </w:num>
  <w:num w:numId="12">
    <w:abstractNumId w:val="3"/>
  </w:num>
  <w:num w:numId="13">
    <w:abstractNumId w:val="12"/>
  </w:num>
  <w:num w:numId="14">
    <w:abstractNumId w:val="1"/>
  </w:num>
  <w:num w:numId="15">
    <w:abstractNumId w:val="11"/>
  </w:num>
  <w:num w:numId="16">
    <w:abstractNumId w:val="19"/>
  </w:num>
  <w:num w:numId="17">
    <w:abstractNumId w:val="2"/>
  </w:num>
  <w:num w:numId="18">
    <w:abstractNumId w:val="0"/>
  </w:num>
  <w:num w:numId="19">
    <w:abstractNumId w:val="26"/>
  </w:num>
  <w:num w:numId="20">
    <w:abstractNumId w:val="10"/>
  </w:num>
  <w:num w:numId="21">
    <w:abstractNumId w:val="25"/>
  </w:num>
  <w:num w:numId="22">
    <w:abstractNumId w:val="21"/>
  </w:num>
  <w:num w:numId="23">
    <w:abstractNumId w:val="6"/>
  </w:num>
  <w:num w:numId="24">
    <w:abstractNumId w:val="5"/>
  </w:num>
  <w:num w:numId="25">
    <w:abstractNumId w:val="7"/>
  </w:num>
  <w:num w:numId="26">
    <w:abstractNumId w:val="22"/>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5D73"/>
    <w:rsid w:val="00017CF1"/>
    <w:rsid w:val="000239C3"/>
    <w:rsid w:val="00027CA6"/>
    <w:rsid w:val="00040AFD"/>
    <w:rsid w:val="0004544A"/>
    <w:rsid w:val="00065C18"/>
    <w:rsid w:val="000724E6"/>
    <w:rsid w:val="000744EB"/>
    <w:rsid w:val="00077E44"/>
    <w:rsid w:val="00083534"/>
    <w:rsid w:val="00092083"/>
    <w:rsid w:val="000A2B09"/>
    <w:rsid w:val="000A53B0"/>
    <w:rsid w:val="000A5772"/>
    <w:rsid w:val="000B6AA3"/>
    <w:rsid w:val="000D5F61"/>
    <w:rsid w:val="000D7687"/>
    <w:rsid w:val="000E0C99"/>
    <w:rsid w:val="000E297C"/>
    <w:rsid w:val="000E2C29"/>
    <w:rsid w:val="000E4965"/>
    <w:rsid w:val="000F29F4"/>
    <w:rsid w:val="001204E6"/>
    <w:rsid w:val="00125229"/>
    <w:rsid w:val="00135DCE"/>
    <w:rsid w:val="001377D9"/>
    <w:rsid w:val="001528E2"/>
    <w:rsid w:val="00177AF7"/>
    <w:rsid w:val="00177E10"/>
    <w:rsid w:val="001829EF"/>
    <w:rsid w:val="00187B7F"/>
    <w:rsid w:val="001B5933"/>
    <w:rsid w:val="001D489E"/>
    <w:rsid w:val="001E294B"/>
    <w:rsid w:val="001E50BB"/>
    <w:rsid w:val="001F6635"/>
    <w:rsid w:val="00205CDA"/>
    <w:rsid w:val="00210381"/>
    <w:rsid w:val="002170E9"/>
    <w:rsid w:val="0023459F"/>
    <w:rsid w:val="00257288"/>
    <w:rsid w:val="0027173B"/>
    <w:rsid w:val="0028153F"/>
    <w:rsid w:val="00281ABF"/>
    <w:rsid w:val="00287222"/>
    <w:rsid w:val="00290BC4"/>
    <w:rsid w:val="002B5FCF"/>
    <w:rsid w:val="002E087A"/>
    <w:rsid w:val="002E1E91"/>
    <w:rsid w:val="002E41A6"/>
    <w:rsid w:val="002E451E"/>
    <w:rsid w:val="002E6900"/>
    <w:rsid w:val="002F4E91"/>
    <w:rsid w:val="002F7F7E"/>
    <w:rsid w:val="00303C73"/>
    <w:rsid w:val="00315978"/>
    <w:rsid w:val="00322F9D"/>
    <w:rsid w:val="00326AF7"/>
    <w:rsid w:val="00347B83"/>
    <w:rsid w:val="003538EC"/>
    <w:rsid w:val="003570B3"/>
    <w:rsid w:val="00364690"/>
    <w:rsid w:val="003812A6"/>
    <w:rsid w:val="003904CF"/>
    <w:rsid w:val="00391192"/>
    <w:rsid w:val="003A03B6"/>
    <w:rsid w:val="003A061D"/>
    <w:rsid w:val="003A20AB"/>
    <w:rsid w:val="003A2783"/>
    <w:rsid w:val="003B3274"/>
    <w:rsid w:val="003B5D57"/>
    <w:rsid w:val="003C4AB7"/>
    <w:rsid w:val="003C526B"/>
    <w:rsid w:val="003C785E"/>
    <w:rsid w:val="003F0A06"/>
    <w:rsid w:val="003F143B"/>
    <w:rsid w:val="003F2679"/>
    <w:rsid w:val="0040280B"/>
    <w:rsid w:val="00406C03"/>
    <w:rsid w:val="00420672"/>
    <w:rsid w:val="00432F97"/>
    <w:rsid w:val="00436E56"/>
    <w:rsid w:val="0044237A"/>
    <w:rsid w:val="00443988"/>
    <w:rsid w:val="004600AB"/>
    <w:rsid w:val="00463347"/>
    <w:rsid w:val="00470E3D"/>
    <w:rsid w:val="00483D63"/>
    <w:rsid w:val="00492808"/>
    <w:rsid w:val="00494430"/>
    <w:rsid w:val="004A2DD0"/>
    <w:rsid w:val="004B18D4"/>
    <w:rsid w:val="004C0DE4"/>
    <w:rsid w:val="004D7523"/>
    <w:rsid w:val="004F01DC"/>
    <w:rsid w:val="004F3E19"/>
    <w:rsid w:val="004F4686"/>
    <w:rsid w:val="0050003B"/>
    <w:rsid w:val="00515382"/>
    <w:rsid w:val="00516141"/>
    <w:rsid w:val="00542111"/>
    <w:rsid w:val="00552EB6"/>
    <w:rsid w:val="005719FD"/>
    <w:rsid w:val="00571D04"/>
    <w:rsid w:val="0059141F"/>
    <w:rsid w:val="005A3B9F"/>
    <w:rsid w:val="005A5D5E"/>
    <w:rsid w:val="005A6CF3"/>
    <w:rsid w:val="005B1853"/>
    <w:rsid w:val="005C78D5"/>
    <w:rsid w:val="005E0FF4"/>
    <w:rsid w:val="005E138D"/>
    <w:rsid w:val="005E7361"/>
    <w:rsid w:val="005F37EF"/>
    <w:rsid w:val="006232B6"/>
    <w:rsid w:val="00643D86"/>
    <w:rsid w:val="0064534B"/>
    <w:rsid w:val="0065064C"/>
    <w:rsid w:val="00666881"/>
    <w:rsid w:val="00667B08"/>
    <w:rsid w:val="006747EE"/>
    <w:rsid w:val="006A5BFE"/>
    <w:rsid w:val="007129AC"/>
    <w:rsid w:val="00720016"/>
    <w:rsid w:val="0073466E"/>
    <w:rsid w:val="007479D8"/>
    <w:rsid w:val="00752A7B"/>
    <w:rsid w:val="00791A7E"/>
    <w:rsid w:val="00795FEC"/>
    <w:rsid w:val="007B647A"/>
    <w:rsid w:val="007C12B3"/>
    <w:rsid w:val="007D65A9"/>
    <w:rsid w:val="007E6157"/>
    <w:rsid w:val="00817C6E"/>
    <w:rsid w:val="008344D5"/>
    <w:rsid w:val="00860DAA"/>
    <w:rsid w:val="00862CC0"/>
    <w:rsid w:val="008671D4"/>
    <w:rsid w:val="00867A0A"/>
    <w:rsid w:val="00877994"/>
    <w:rsid w:val="00890177"/>
    <w:rsid w:val="00890678"/>
    <w:rsid w:val="00894809"/>
    <w:rsid w:val="00895AB5"/>
    <w:rsid w:val="008A7358"/>
    <w:rsid w:val="008A7E04"/>
    <w:rsid w:val="008B0C50"/>
    <w:rsid w:val="008D5D73"/>
    <w:rsid w:val="00905DE0"/>
    <w:rsid w:val="00933136"/>
    <w:rsid w:val="009349FC"/>
    <w:rsid w:val="00943DD0"/>
    <w:rsid w:val="00950B09"/>
    <w:rsid w:val="00954F73"/>
    <w:rsid w:val="009617FF"/>
    <w:rsid w:val="009726FF"/>
    <w:rsid w:val="00997CB4"/>
    <w:rsid w:val="009B4010"/>
    <w:rsid w:val="009C580B"/>
    <w:rsid w:val="009D00DF"/>
    <w:rsid w:val="00A132E6"/>
    <w:rsid w:val="00A15A0C"/>
    <w:rsid w:val="00A267F7"/>
    <w:rsid w:val="00A37C22"/>
    <w:rsid w:val="00A40131"/>
    <w:rsid w:val="00A571BA"/>
    <w:rsid w:val="00A618EA"/>
    <w:rsid w:val="00A7045B"/>
    <w:rsid w:val="00A8114C"/>
    <w:rsid w:val="00AB08E2"/>
    <w:rsid w:val="00AB673E"/>
    <w:rsid w:val="00AC3273"/>
    <w:rsid w:val="00AC3992"/>
    <w:rsid w:val="00AC69CB"/>
    <w:rsid w:val="00AE36C2"/>
    <w:rsid w:val="00AE7627"/>
    <w:rsid w:val="00AF0EE0"/>
    <w:rsid w:val="00B216D7"/>
    <w:rsid w:val="00B21E27"/>
    <w:rsid w:val="00B5512E"/>
    <w:rsid w:val="00B704C1"/>
    <w:rsid w:val="00B73435"/>
    <w:rsid w:val="00B85D75"/>
    <w:rsid w:val="00B94373"/>
    <w:rsid w:val="00B9739E"/>
    <w:rsid w:val="00BA6E23"/>
    <w:rsid w:val="00BB4D58"/>
    <w:rsid w:val="00BB6760"/>
    <w:rsid w:val="00BE5C9A"/>
    <w:rsid w:val="00C00C6B"/>
    <w:rsid w:val="00C06EDC"/>
    <w:rsid w:val="00C364CE"/>
    <w:rsid w:val="00C61D92"/>
    <w:rsid w:val="00C83D7E"/>
    <w:rsid w:val="00C85985"/>
    <w:rsid w:val="00C91050"/>
    <w:rsid w:val="00C9692A"/>
    <w:rsid w:val="00D02185"/>
    <w:rsid w:val="00D10ADF"/>
    <w:rsid w:val="00D11224"/>
    <w:rsid w:val="00D216F7"/>
    <w:rsid w:val="00D32DFD"/>
    <w:rsid w:val="00D33672"/>
    <w:rsid w:val="00D40187"/>
    <w:rsid w:val="00D4626D"/>
    <w:rsid w:val="00D47138"/>
    <w:rsid w:val="00D500D9"/>
    <w:rsid w:val="00D5298B"/>
    <w:rsid w:val="00D56B1C"/>
    <w:rsid w:val="00D57711"/>
    <w:rsid w:val="00D764C4"/>
    <w:rsid w:val="00D801ED"/>
    <w:rsid w:val="00D82146"/>
    <w:rsid w:val="00D82826"/>
    <w:rsid w:val="00D934A4"/>
    <w:rsid w:val="00DA1CFE"/>
    <w:rsid w:val="00DB2EE9"/>
    <w:rsid w:val="00DB61D7"/>
    <w:rsid w:val="00DC186A"/>
    <w:rsid w:val="00DC7CF9"/>
    <w:rsid w:val="00DD4BA9"/>
    <w:rsid w:val="00DD54EB"/>
    <w:rsid w:val="00DF1F19"/>
    <w:rsid w:val="00E239DD"/>
    <w:rsid w:val="00E521CF"/>
    <w:rsid w:val="00E541DC"/>
    <w:rsid w:val="00E672AF"/>
    <w:rsid w:val="00E768AB"/>
    <w:rsid w:val="00E8004A"/>
    <w:rsid w:val="00E906B6"/>
    <w:rsid w:val="00EA0AED"/>
    <w:rsid w:val="00EA7785"/>
    <w:rsid w:val="00EC4C1A"/>
    <w:rsid w:val="00EE1845"/>
    <w:rsid w:val="00EE4034"/>
    <w:rsid w:val="00EF3B8F"/>
    <w:rsid w:val="00F026D2"/>
    <w:rsid w:val="00F06953"/>
    <w:rsid w:val="00F113A0"/>
    <w:rsid w:val="00F32B0E"/>
    <w:rsid w:val="00F375AE"/>
    <w:rsid w:val="00F544D2"/>
    <w:rsid w:val="00F573B1"/>
    <w:rsid w:val="00F666F0"/>
    <w:rsid w:val="00F83ABC"/>
    <w:rsid w:val="00F91BE2"/>
    <w:rsid w:val="00FA1EB9"/>
    <w:rsid w:val="00FC6E58"/>
    <w:rsid w:val="00FD1080"/>
    <w:rsid w:val="00FD14BA"/>
    <w:rsid w:val="00FD7A4D"/>
    <w:rsid w:val="00FE1C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4269252-ED73-40FC-B0FE-EAF68DB56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D73"/>
    <w:pPr>
      <w:spacing w:after="180" w:line="240" w:lineRule="auto"/>
    </w:pPr>
    <w:rPr>
      <w:rFonts w:ascii="Times New Roman" w:eastAsia="MS Mincho" w:hAnsi="Times New Roman" w:cs="Times New Roman"/>
      <w:sz w:val="20"/>
      <w:szCs w:val="20"/>
      <w:lang w:val="en-GB"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rsid w:val="008D5D7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paragraph" w:styleId="Heading2">
    <w:name w:val="heading 2"/>
    <w:basedOn w:val="Normal"/>
    <w:next w:val="Normal"/>
    <w:link w:val="Heading2Char"/>
    <w:unhideWhenUsed/>
    <w:qFormat/>
    <w:rsid w:val="00905DE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8D5D73"/>
    <w:pPr>
      <w:spacing w:after="120" w:line="240" w:lineRule="auto"/>
    </w:pPr>
    <w:rPr>
      <w:rFonts w:ascii="Arial" w:eastAsia="MS Mincho" w:hAnsi="Arial" w:cs="Times New Roman"/>
      <w:sz w:val="20"/>
      <w:szCs w:val="20"/>
      <w:lang w:val="en-GB"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8D5D73"/>
    <w:rPr>
      <w:rFonts w:ascii="Arial" w:eastAsia="Malgun Gothic" w:hAnsi="Arial" w:cs="Times New Roman"/>
      <w:sz w:val="36"/>
      <w:szCs w:val="20"/>
      <w:lang w:val="en-GB" w:eastAsia="en-US"/>
    </w:rPr>
  </w:style>
  <w:style w:type="paragraph" w:customStyle="1" w:styleId="Doc-text2">
    <w:name w:val="Doc-text2"/>
    <w:basedOn w:val="Normal"/>
    <w:link w:val="Doc-text2Char"/>
    <w:qFormat/>
    <w:rsid w:val="008D5D73"/>
    <w:pPr>
      <w:tabs>
        <w:tab w:val="left" w:pos="1622"/>
      </w:tabs>
      <w:spacing w:after="0"/>
      <w:ind w:left="1622" w:hanging="363"/>
    </w:pPr>
    <w:rPr>
      <w:rFonts w:ascii="Arial" w:hAnsi="Arial"/>
      <w:szCs w:val="24"/>
    </w:rPr>
  </w:style>
  <w:style w:type="character" w:customStyle="1" w:styleId="Doc-text2Char">
    <w:name w:val="Doc-text2 Char"/>
    <w:link w:val="Doc-text2"/>
    <w:rsid w:val="008D5D73"/>
    <w:rPr>
      <w:rFonts w:ascii="Arial" w:eastAsia="MS Mincho" w:hAnsi="Arial" w:cs="Times New Roman"/>
      <w:sz w:val="20"/>
      <w:szCs w:val="24"/>
      <w:lang w:val="en-GB" w:eastAsia="en-US"/>
    </w:rPr>
  </w:style>
  <w:style w:type="paragraph" w:customStyle="1" w:styleId="Comments">
    <w:name w:val="Comments"/>
    <w:basedOn w:val="Normal"/>
    <w:link w:val="CommentsChar"/>
    <w:qFormat/>
    <w:rsid w:val="001829EF"/>
    <w:pPr>
      <w:spacing w:before="40" w:after="0"/>
    </w:pPr>
    <w:rPr>
      <w:rFonts w:ascii="Arial" w:hAnsi="Arial"/>
      <w:i/>
      <w:noProof/>
      <w:sz w:val="18"/>
      <w:szCs w:val="24"/>
      <w:lang w:eastAsia="en-GB"/>
    </w:rPr>
  </w:style>
  <w:style w:type="character" w:customStyle="1" w:styleId="CommentsChar">
    <w:name w:val="Comments Char"/>
    <w:link w:val="Comments"/>
    <w:rsid w:val="001829EF"/>
    <w:rPr>
      <w:rFonts w:ascii="Arial" w:eastAsia="MS Mincho" w:hAnsi="Arial" w:cs="Times New Roman"/>
      <w:i/>
      <w:noProof/>
      <w:sz w:val="18"/>
      <w:szCs w:val="24"/>
      <w:lang w:val="en-GB" w:eastAsia="en-GB"/>
    </w:rPr>
  </w:style>
  <w:style w:type="character" w:customStyle="1" w:styleId="Heading2Char">
    <w:name w:val="Heading 2 Char"/>
    <w:basedOn w:val="DefaultParagraphFont"/>
    <w:link w:val="Heading2"/>
    <w:rsid w:val="00905DE0"/>
    <w:rPr>
      <w:rFonts w:asciiTheme="majorHAnsi" w:eastAsiaTheme="majorEastAsia" w:hAnsiTheme="majorHAnsi" w:cstheme="majorBidi"/>
      <w:color w:val="2E74B5" w:themeColor="accent1" w:themeShade="BF"/>
      <w:sz w:val="26"/>
      <w:szCs w:val="26"/>
      <w:lang w:val="en-GB" w:eastAsia="en-US"/>
    </w:rPr>
  </w:style>
  <w:style w:type="paragraph" w:styleId="ListParagraph">
    <w:name w:val="List Paragraph"/>
    <w:basedOn w:val="Normal"/>
    <w:link w:val="ListParagraphChar"/>
    <w:uiPriority w:val="34"/>
    <w:qFormat/>
    <w:rsid w:val="00E906B6"/>
    <w:pPr>
      <w:spacing w:after="160" w:line="259" w:lineRule="auto"/>
      <w:ind w:left="720"/>
      <w:contextualSpacing/>
    </w:pPr>
    <w:rPr>
      <w:rFonts w:asciiTheme="minorHAnsi" w:eastAsiaTheme="minorEastAsia" w:hAnsiTheme="minorHAnsi" w:cstheme="minorBidi"/>
      <w:sz w:val="22"/>
      <w:szCs w:val="22"/>
      <w:lang w:val="en-US" w:eastAsia="zh-CN"/>
    </w:rPr>
  </w:style>
  <w:style w:type="table" w:styleId="TableGrid">
    <w:name w:val="Table Grid"/>
    <w:basedOn w:val="TableNormal"/>
    <w:uiPriority w:val="39"/>
    <w:rsid w:val="003159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C580B"/>
    <w:pPr>
      <w:tabs>
        <w:tab w:val="center" w:pos="4680"/>
        <w:tab w:val="right" w:pos="9360"/>
      </w:tabs>
      <w:spacing w:after="0"/>
    </w:pPr>
  </w:style>
  <w:style w:type="character" w:customStyle="1" w:styleId="HeaderChar">
    <w:name w:val="Header Char"/>
    <w:basedOn w:val="DefaultParagraphFont"/>
    <w:link w:val="Header"/>
    <w:uiPriority w:val="99"/>
    <w:rsid w:val="009C580B"/>
    <w:rPr>
      <w:rFonts w:ascii="Times New Roman" w:eastAsia="MS Mincho" w:hAnsi="Times New Roman" w:cs="Times New Roman"/>
      <w:sz w:val="20"/>
      <w:szCs w:val="20"/>
      <w:lang w:val="en-GB" w:eastAsia="en-US"/>
    </w:rPr>
  </w:style>
  <w:style w:type="paragraph" w:styleId="Footer">
    <w:name w:val="footer"/>
    <w:basedOn w:val="Normal"/>
    <w:link w:val="FooterChar"/>
    <w:uiPriority w:val="99"/>
    <w:unhideWhenUsed/>
    <w:rsid w:val="009C580B"/>
    <w:pPr>
      <w:tabs>
        <w:tab w:val="center" w:pos="4680"/>
        <w:tab w:val="right" w:pos="9360"/>
      </w:tabs>
      <w:spacing w:after="0"/>
    </w:pPr>
  </w:style>
  <w:style w:type="character" w:customStyle="1" w:styleId="FooterChar">
    <w:name w:val="Footer Char"/>
    <w:basedOn w:val="DefaultParagraphFont"/>
    <w:link w:val="Footer"/>
    <w:uiPriority w:val="99"/>
    <w:rsid w:val="009C580B"/>
    <w:rPr>
      <w:rFonts w:ascii="Times New Roman" w:eastAsia="MS Mincho" w:hAnsi="Times New Roman" w:cs="Times New Roman"/>
      <w:sz w:val="20"/>
      <w:szCs w:val="20"/>
      <w:lang w:val="en-GB" w:eastAsia="en-US"/>
    </w:rPr>
  </w:style>
  <w:style w:type="paragraph" w:customStyle="1" w:styleId="B1">
    <w:name w:val="B1"/>
    <w:basedOn w:val="List"/>
    <w:rsid w:val="00EF3B8F"/>
    <w:pPr>
      <w:ind w:left="568" w:hanging="284"/>
      <w:contextualSpacing w:val="0"/>
    </w:pPr>
    <w:rPr>
      <w:rFonts w:eastAsia="Times New Roman"/>
    </w:rPr>
  </w:style>
  <w:style w:type="paragraph" w:customStyle="1" w:styleId="B2">
    <w:name w:val="B2"/>
    <w:basedOn w:val="List2"/>
    <w:rsid w:val="00EF3B8F"/>
    <w:pPr>
      <w:ind w:left="851" w:hanging="284"/>
      <w:contextualSpacing w:val="0"/>
    </w:pPr>
    <w:rPr>
      <w:rFonts w:eastAsia="Times New Roman"/>
    </w:rPr>
  </w:style>
  <w:style w:type="paragraph" w:styleId="List">
    <w:name w:val="List"/>
    <w:basedOn w:val="Normal"/>
    <w:uiPriority w:val="99"/>
    <w:semiHidden/>
    <w:unhideWhenUsed/>
    <w:rsid w:val="00EF3B8F"/>
    <w:pPr>
      <w:ind w:left="360" w:hanging="360"/>
      <w:contextualSpacing/>
    </w:pPr>
  </w:style>
  <w:style w:type="paragraph" w:styleId="List2">
    <w:name w:val="List 2"/>
    <w:basedOn w:val="Normal"/>
    <w:uiPriority w:val="99"/>
    <w:semiHidden/>
    <w:unhideWhenUsed/>
    <w:rsid w:val="00EF3B8F"/>
    <w:pPr>
      <w:ind w:left="720" w:hanging="360"/>
      <w:contextualSpacing/>
    </w:pPr>
  </w:style>
  <w:style w:type="paragraph" w:customStyle="1" w:styleId="Style1">
    <w:name w:val="Style1"/>
    <w:basedOn w:val="Normal"/>
    <w:link w:val="Style1Char"/>
    <w:qFormat/>
    <w:rsid w:val="00FE1CF9"/>
    <w:pPr>
      <w:spacing w:after="120" w:line="288" w:lineRule="auto"/>
      <w:ind w:firstLine="360"/>
      <w:jc w:val="both"/>
    </w:pPr>
    <w:rPr>
      <w:rFonts w:eastAsia="Malgun Gothic" w:cs="Batang"/>
    </w:rPr>
  </w:style>
  <w:style w:type="character" w:customStyle="1" w:styleId="Style1Char">
    <w:name w:val="Style1 Char"/>
    <w:basedOn w:val="DefaultParagraphFont"/>
    <w:link w:val="Style1"/>
    <w:rsid w:val="00FE1CF9"/>
    <w:rPr>
      <w:rFonts w:ascii="Times New Roman" w:eastAsia="Malgun Gothic" w:hAnsi="Times New Roman" w:cs="Batang"/>
      <w:sz w:val="20"/>
      <w:szCs w:val="20"/>
      <w:lang w:val="en-GB" w:eastAsia="en-US"/>
    </w:rPr>
  </w:style>
  <w:style w:type="character" w:customStyle="1" w:styleId="ListParagraphChar">
    <w:name w:val="List Paragraph Char"/>
    <w:link w:val="ListParagraph"/>
    <w:uiPriority w:val="34"/>
    <w:locked/>
    <w:rsid w:val="000A53B0"/>
  </w:style>
  <w:style w:type="character" w:styleId="Hyperlink">
    <w:name w:val="Hyperlink"/>
    <w:uiPriority w:val="99"/>
    <w:rsid w:val="00326AF7"/>
    <w:rPr>
      <w:color w:val="0000FF"/>
      <w:u w:val="single"/>
    </w:rPr>
  </w:style>
  <w:style w:type="paragraph" w:styleId="BodyText">
    <w:name w:val="Body Text"/>
    <w:aliases w:val="bt"/>
    <w:basedOn w:val="Normal"/>
    <w:link w:val="BodyTextChar"/>
    <w:rsid w:val="00326AF7"/>
    <w:pPr>
      <w:spacing w:after="120"/>
      <w:jc w:val="both"/>
    </w:pPr>
    <w:rPr>
      <w:szCs w:val="24"/>
      <w:lang w:val="en-US"/>
    </w:rPr>
  </w:style>
  <w:style w:type="character" w:customStyle="1" w:styleId="BodyTextChar">
    <w:name w:val="Body Text Char"/>
    <w:aliases w:val="bt Char"/>
    <w:basedOn w:val="DefaultParagraphFont"/>
    <w:link w:val="BodyText"/>
    <w:rsid w:val="00326AF7"/>
    <w:rPr>
      <w:rFonts w:ascii="Times New Roman" w:eastAsia="MS Mincho" w:hAnsi="Times New Roman" w:cs="Times New Roman"/>
      <w:sz w:val="20"/>
      <w:szCs w:val="24"/>
      <w:lang w:eastAsia="en-US"/>
    </w:rPr>
  </w:style>
  <w:style w:type="paragraph" w:customStyle="1" w:styleId="PL">
    <w:name w:val="PL"/>
    <w:link w:val="PLChar"/>
    <w:rsid w:val="004F4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PLChar">
    <w:name w:val="PL Char"/>
    <w:link w:val="PL"/>
    <w:rsid w:val="004F4686"/>
    <w:rPr>
      <w:rFonts w:ascii="Courier New" w:eastAsia="Times New Roman" w:hAnsi="Courier New" w:cs="Times New Roman"/>
      <w:noProof/>
      <w:sz w:val="16"/>
      <w:szCs w:val="20"/>
      <w:lang w:val="en-GB"/>
    </w:rPr>
  </w:style>
  <w:style w:type="paragraph" w:customStyle="1" w:styleId="3GPPHeader">
    <w:name w:val="3GPP_Header"/>
    <w:basedOn w:val="Normal"/>
    <w:rsid w:val="00DF1F19"/>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NormalWeb">
    <w:name w:val="Normal (Web)"/>
    <w:basedOn w:val="Normal"/>
    <w:uiPriority w:val="99"/>
    <w:semiHidden/>
    <w:unhideWhenUsed/>
    <w:rsid w:val="004F3E19"/>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5928643">
      <w:bodyDiv w:val="1"/>
      <w:marLeft w:val="0"/>
      <w:marRight w:val="0"/>
      <w:marTop w:val="0"/>
      <w:marBottom w:val="0"/>
      <w:divBdr>
        <w:top w:val="none" w:sz="0" w:space="0" w:color="auto"/>
        <w:left w:val="none" w:sz="0" w:space="0" w:color="auto"/>
        <w:bottom w:val="none" w:sz="0" w:space="0" w:color="auto"/>
        <w:right w:val="none" w:sz="0" w:space="0" w:color="auto"/>
      </w:divBdr>
      <w:divsChild>
        <w:div w:id="1739590337">
          <w:marLeft w:val="446"/>
          <w:marRight w:val="0"/>
          <w:marTop w:val="0"/>
          <w:marBottom w:val="0"/>
          <w:divBdr>
            <w:top w:val="none" w:sz="0" w:space="0" w:color="auto"/>
            <w:left w:val="none" w:sz="0" w:space="0" w:color="auto"/>
            <w:bottom w:val="none" w:sz="0" w:space="0" w:color="auto"/>
            <w:right w:val="none" w:sz="0" w:space="0" w:color="auto"/>
          </w:divBdr>
        </w:div>
      </w:divsChild>
    </w:div>
    <w:div w:id="813596051">
      <w:bodyDiv w:val="1"/>
      <w:marLeft w:val="0"/>
      <w:marRight w:val="0"/>
      <w:marTop w:val="0"/>
      <w:marBottom w:val="0"/>
      <w:divBdr>
        <w:top w:val="none" w:sz="0" w:space="0" w:color="auto"/>
        <w:left w:val="none" w:sz="0" w:space="0" w:color="auto"/>
        <w:bottom w:val="none" w:sz="0" w:space="0" w:color="auto"/>
        <w:right w:val="none" w:sz="0" w:space="0" w:color="auto"/>
      </w:divBdr>
    </w:div>
    <w:div w:id="1527480289">
      <w:bodyDiv w:val="1"/>
      <w:marLeft w:val="0"/>
      <w:marRight w:val="0"/>
      <w:marTop w:val="0"/>
      <w:marBottom w:val="0"/>
      <w:divBdr>
        <w:top w:val="none" w:sz="0" w:space="0" w:color="auto"/>
        <w:left w:val="none" w:sz="0" w:space="0" w:color="auto"/>
        <w:bottom w:val="none" w:sz="0" w:space="0" w:color="auto"/>
        <w:right w:val="none" w:sz="0" w:space="0" w:color="auto"/>
      </w:divBdr>
    </w:div>
    <w:div w:id="1732192932">
      <w:bodyDiv w:val="1"/>
      <w:marLeft w:val="0"/>
      <w:marRight w:val="0"/>
      <w:marTop w:val="0"/>
      <w:marBottom w:val="0"/>
      <w:divBdr>
        <w:top w:val="none" w:sz="0" w:space="0" w:color="auto"/>
        <w:left w:val="none" w:sz="0" w:space="0" w:color="auto"/>
        <w:bottom w:val="none" w:sz="0" w:space="0" w:color="auto"/>
        <w:right w:val="none" w:sz="0" w:space="0" w:color="auto"/>
      </w:divBdr>
    </w:div>
    <w:div w:id="2117212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file:///C:\Data\3GPP\Extracts\R2-1709861_R1-1715071.do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42D77B-7C02-40B3-B61E-16F3D1976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1327</Words>
  <Characters>7567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5</cp:revision>
  <dcterms:created xsi:type="dcterms:W3CDTF">2017-09-28T08:45:00Z</dcterms:created>
  <dcterms:modified xsi:type="dcterms:W3CDTF">2017-09-29T03:45:00Z</dcterms:modified>
</cp:coreProperties>
</file>